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00782D" w:rsidRPr="00392900" w:rsidTr="00017BB1">
        <w:tc>
          <w:tcPr>
            <w:tcW w:w="2269" w:type="dxa"/>
          </w:tcPr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 xml:space="preserve">Mae’r safon hon yn ymwneud â gweithio gyda phartneriaid comisiynu, darparwyr a phobl berthnasol yn eich sefydliad eich hun pan fydd angen gwella perfformiad er mwyn bodloni gofynion y contract. Gallai hyn fod wedi digwydd o ganlyniad i fonitro canlyniadau’n rheolaidd, neu o ganlyniad i bryderon neu gwynion. Mae’n cynnwys cytuno ar feysydd i’w gwella a sut y gwneir gwelliannau, </w:t>
            </w:r>
            <w:r>
              <w:rPr>
                <w:lang w:val="cy-GB"/>
              </w:rPr>
              <w:t xml:space="preserve">ac </w:t>
            </w:r>
            <w:r w:rsidRPr="000A16B7">
              <w:rPr>
                <w:lang w:val="cy-GB"/>
              </w:rPr>
              <w:t>yna gwerthuso’r cynnydd a wnaed o ran gwella perfformiad contract.</w:t>
            </w:r>
          </w:p>
          <w:p w:rsidR="0000782D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</w:p>
          <w:p w:rsidR="00514371" w:rsidRPr="000A16B7" w:rsidRDefault="00514371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lang w:val="cy-GB"/>
              </w:rPr>
            </w:pPr>
            <w:r w:rsidRPr="00514371">
              <w:rPr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514371" w:rsidRPr="000A16B7" w:rsidRDefault="00514371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00782D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514371" w:rsidRPr="000A16B7" w:rsidRDefault="00514371" w:rsidP="00017BB1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00782D" w:rsidRPr="00392900" w:rsidTr="00017BB1">
        <w:tc>
          <w:tcPr>
            <w:tcW w:w="2269" w:type="dxa"/>
          </w:tcPr>
          <w:p w:rsidR="0000782D" w:rsidRPr="00514371" w:rsidRDefault="0000782D" w:rsidP="00017BB1">
            <w:pPr>
              <w:pStyle w:val="Heading1"/>
              <w:spacing w:before="0" w:line="360" w:lineRule="auto"/>
              <w:rPr>
                <w:rFonts w:cs="Arial"/>
                <w:color w:val="5979CD"/>
                <w:sz w:val="22"/>
                <w:szCs w:val="22"/>
                <w:lang w:val="cy-GB"/>
              </w:rPr>
            </w:pPr>
            <w:r w:rsidRPr="00514371">
              <w:rPr>
                <w:rFonts w:cs="Arial"/>
                <w:color w:val="5979CD"/>
                <w:sz w:val="22"/>
                <w:szCs w:val="22"/>
                <w:lang w:val="cy-GB"/>
              </w:rPr>
              <w:lastRenderedPageBreak/>
              <w:t xml:space="preserve">Meini prawf perfformiad </w:t>
            </w: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514371">
            <w:pPr>
              <w:pStyle w:val="Heading1"/>
              <w:spacing w:before="0" w:line="360" w:lineRule="auto"/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</w:pPr>
            <w:r w:rsidRPr="00514371">
              <w:rPr>
                <w:rFonts w:cs="Arial"/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color w:val="5979CD"/>
                <w:lang w:val="cy-GB"/>
              </w:rPr>
            </w:pPr>
            <w:r w:rsidRPr="00514371">
              <w:rPr>
                <w:color w:val="5979CD"/>
                <w:lang w:val="cy-GB"/>
              </w:rPr>
              <w:t>Mae’n rhaid i chi allu:</w:t>
            </w: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4306B4" w:rsidRDefault="004306B4" w:rsidP="00017BB1">
            <w:pPr>
              <w:spacing w:line="360" w:lineRule="auto"/>
              <w:rPr>
                <w:lang w:val="cy-GB"/>
              </w:rPr>
            </w:pPr>
          </w:p>
          <w:p w:rsidR="00514371" w:rsidRPr="00514371" w:rsidRDefault="00514371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color w:val="5979CD"/>
                <w:lang w:val="cy-GB"/>
              </w:rPr>
            </w:pPr>
            <w:r w:rsidRPr="00514371">
              <w:rPr>
                <w:color w:val="5979CD"/>
                <w:lang w:val="cy-GB"/>
              </w:rPr>
              <w:t>Mae’n rhaid i chi allu:</w:t>
            </w: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514371" w:rsidRDefault="00514371" w:rsidP="00017BB1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00782D" w:rsidRPr="00514371" w:rsidRDefault="00514371" w:rsidP="00017BB1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 </w:t>
            </w:r>
            <w:r w:rsidR="0000782D" w:rsidRPr="00514371">
              <w:rPr>
                <w:rFonts w:cs="Arial"/>
                <w:lang w:val="cy-GB"/>
              </w:rPr>
              <w:t xml:space="preserve">Nodi cyfleoedd i wella perfformiad contract yn erbyn canlyniadau </w:t>
            </w:r>
          </w:p>
          <w:p w:rsidR="0000782D" w:rsidRPr="00514371" w:rsidRDefault="0000782D" w:rsidP="00017BB1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 xml:space="preserve">rhoi esboniad clir i </w:t>
            </w:r>
            <w:r w:rsidRPr="00514371">
              <w:rPr>
                <w:rFonts w:ascii="Arial" w:hAnsi="Arial" w:cs="Arial"/>
                <w:b/>
                <w:lang w:val="cy-GB"/>
              </w:rPr>
              <w:t>bartneriaid comisiynu</w:t>
            </w:r>
            <w:r w:rsidRPr="00514371">
              <w:rPr>
                <w:rFonts w:ascii="Arial" w:hAnsi="Arial" w:cs="Arial"/>
                <w:lang w:val="cy-GB"/>
              </w:rPr>
              <w:t xml:space="preserve">, y darparwr a’r </w:t>
            </w:r>
            <w:r w:rsidRPr="00514371">
              <w:rPr>
                <w:rFonts w:ascii="Arial" w:hAnsi="Arial" w:cs="Arial"/>
                <w:b/>
                <w:lang w:val="cy-GB"/>
              </w:rPr>
              <w:t xml:space="preserve">bobl berthnasol </w:t>
            </w:r>
            <w:r w:rsidRPr="00514371">
              <w:rPr>
                <w:rFonts w:ascii="Arial" w:hAnsi="Arial" w:cs="Arial"/>
                <w:bCs/>
                <w:lang w:val="cy-GB"/>
              </w:rPr>
              <w:t xml:space="preserve">yn eich </w:t>
            </w:r>
            <w:r w:rsidRPr="00514371">
              <w:rPr>
                <w:rFonts w:ascii="Arial" w:hAnsi="Arial" w:cs="Arial"/>
                <w:b/>
                <w:lang w:val="cy-GB"/>
              </w:rPr>
              <w:t xml:space="preserve">sefydliad </w:t>
            </w:r>
            <w:r w:rsidRPr="00514371">
              <w:rPr>
                <w:rFonts w:ascii="Arial" w:hAnsi="Arial" w:cs="Arial"/>
                <w:lang w:val="cy-GB"/>
              </w:rPr>
              <w:t xml:space="preserve">eich hun ynghylch pam mae angen gwella perfformiad 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>gweithredu’n brydlon i fynd i’r afael â phryderon ynghylch perygl, niwed, camdriniaeth neu hybu hawliau unigol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 xml:space="preserve">gweithio gyda phartneriaid comisiynu, y darparwr a phobl berthnasol yn eich sefydliad eich hun i nodi’r rhesymau pam nad yw gofynion contract yn cael eu bodloni 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 xml:space="preserve">trafod yn fanwl y meysydd perfformiad sy’n peri’r pryder mwyaf er mwyn nodi meysydd dysgu a gwella posibl 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>nodi opsiynau posibl ar gyfer datrys pryderon ynghylch perfformiad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 xml:space="preserve">cytuno â phartneriaid comisiynu, y darparwr a phobl berthnasol yn eich sefydliad eich hun ar y dewis a ffefrir i wella perfformiad 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 w:eastAsia="zh-CN"/>
              </w:rPr>
              <w:t xml:space="preserve">cytuno ar gyfres o fesurau perfformiad sy’n caniatáu ar gyfer monitro cynnydd yn erbyn cyflawni </w:t>
            </w:r>
            <w:r w:rsidRPr="00514371">
              <w:rPr>
                <w:rFonts w:ascii="Arial" w:hAnsi="Arial" w:cs="Arial"/>
                <w:b/>
                <w:bCs/>
                <w:lang w:val="cy-GB" w:eastAsia="zh-CN"/>
              </w:rPr>
              <w:t>canlyniadau</w:t>
            </w:r>
          </w:p>
          <w:p w:rsidR="0000782D" w:rsidRPr="00514371" w:rsidRDefault="0000782D" w:rsidP="00017BB1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 w:rsidRPr="00514371">
              <w:rPr>
                <w:rFonts w:ascii="Arial" w:hAnsi="Arial" w:cs="Arial"/>
                <w:lang w:val="cy-GB"/>
              </w:rPr>
              <w:t xml:space="preserve">cynnal cofnodion clir o gytundebau a thrafodaethau, yn unol â gofynion cyfreithiol a sefydliadol </w:t>
            </w:r>
          </w:p>
          <w:p w:rsidR="0000782D" w:rsidRPr="00514371" w:rsidRDefault="0000782D" w:rsidP="00017BB1">
            <w:pPr>
              <w:autoSpaceDE w:val="0"/>
              <w:autoSpaceDN w:val="0"/>
              <w:adjustRightInd w:val="0"/>
              <w:spacing w:line="360" w:lineRule="auto"/>
              <w:ind w:left="357"/>
              <w:jc w:val="both"/>
              <w:rPr>
                <w:b/>
                <w:lang w:val="cy-GB"/>
              </w:rPr>
            </w:pPr>
            <w:r w:rsidRPr="00514371">
              <w:rPr>
                <w:b/>
                <w:bCs/>
                <w:lang w:val="cy-GB" w:eastAsia="en-GB"/>
              </w:rPr>
              <w:t xml:space="preserve">Cytuno ar weithredu gwelliannau </w:t>
            </w:r>
          </w:p>
          <w:p w:rsidR="0000782D" w:rsidRPr="00514371" w:rsidRDefault="0000782D" w:rsidP="00017B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lang w:val="cy-GB" w:eastAsia="en-GB"/>
              </w:rPr>
            </w:pPr>
          </w:p>
          <w:p w:rsidR="0000782D" w:rsidRPr="00514371" w:rsidRDefault="0000782D" w:rsidP="00017BB1">
            <w:pPr>
              <w:pStyle w:val="BodyTex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514371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cytuno ar gynllun gweithredu arfaethedig gyda phartneriaid comisiynu, y darparwr a phobl berthnasol yn eich sefydliad eich hun sy’n cynnwys camau gweithredu ac amserlenni ar gyfer y darparwr, eich sefydliad a phartneriaid comisiynu </w:t>
            </w:r>
          </w:p>
          <w:p w:rsidR="0000782D" w:rsidRPr="00514371" w:rsidRDefault="0000782D" w:rsidP="00017BB1">
            <w:pPr>
              <w:pStyle w:val="BodyTex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514371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cytuno ar broses ar gyfer monitro cynnydd, gan gynnwys cyfnodau monitro a’r </w:t>
            </w:r>
            <w:r w:rsidRPr="00514371">
              <w:rPr>
                <w:rFonts w:ascii="Arial" w:hAnsi="Arial" w:cs="Arial"/>
                <w:bCs w:val="0"/>
                <w:sz w:val="22"/>
                <w:szCs w:val="22"/>
                <w:lang w:val="cy-GB"/>
              </w:rPr>
              <w:t xml:space="preserve">meini prawf </w:t>
            </w:r>
            <w:r w:rsidRPr="00514371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a ddefnyddiwch i fonitro gwelliannau yn unol â hwy </w:t>
            </w:r>
          </w:p>
          <w:p w:rsidR="0000782D" w:rsidRPr="00514371" w:rsidRDefault="0000782D" w:rsidP="00017BB1">
            <w:pPr>
              <w:pStyle w:val="BodyTex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  <w:r w:rsidRPr="00514371"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  <w:t xml:space="preserve">cynnal cofnodion clir o gytundebau a thrafodaethau, yn unol â gofynion cyfreithiol a sefydliadol </w:t>
            </w:r>
          </w:p>
          <w:p w:rsidR="0000782D" w:rsidRPr="00514371" w:rsidRDefault="0000782D" w:rsidP="00017BB1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:rsidR="004306B4" w:rsidRPr="00514371" w:rsidRDefault="004306B4" w:rsidP="00017BB1">
            <w:pPr>
              <w:pStyle w:val="BodyText"/>
              <w:spacing w:line="360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cy-GB"/>
              </w:rPr>
            </w:pPr>
          </w:p>
          <w:p w:rsidR="0000782D" w:rsidRPr="00514371" w:rsidRDefault="00514371" w:rsidP="00017BB1">
            <w:pPr>
              <w:spacing w:line="36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lastRenderedPageBreak/>
              <w:t xml:space="preserve">      </w:t>
            </w:r>
            <w:r w:rsidR="0000782D" w:rsidRPr="00514371">
              <w:rPr>
                <w:b/>
                <w:lang w:val="cy-GB"/>
              </w:rPr>
              <w:t>Gwerthuso cynnydd wrth wella perfformiad contract</w:t>
            </w:r>
          </w:p>
          <w:p w:rsidR="0000782D" w:rsidRPr="00514371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514371" w:rsidRDefault="0000782D" w:rsidP="00017BB1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514371">
              <w:rPr>
                <w:lang w:val="cy-GB"/>
              </w:rPr>
              <w:t>monitro perfformiad ar gyfnodau y cytunwyd arnynt</w:t>
            </w:r>
          </w:p>
          <w:p w:rsidR="0000782D" w:rsidRPr="00514371" w:rsidRDefault="0000782D" w:rsidP="00017BB1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514371">
              <w:rPr>
                <w:lang w:val="cy-GB"/>
              </w:rPr>
              <w:t xml:space="preserve">defnyddio gwybodaeth am fonitro perfformiad i werthuso cynnydd tuag at fodloni canlyniadau a gofynion contract </w:t>
            </w:r>
          </w:p>
          <w:p w:rsidR="0000782D" w:rsidRPr="00514371" w:rsidRDefault="0000782D" w:rsidP="00017BB1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514371">
              <w:rPr>
                <w:lang w:val="cy-GB"/>
              </w:rPr>
              <w:t xml:space="preserve">rhannu eich gwerthusiad yn brydlon gyda phartneriaid comisiynu, y darparwr a phobl berthnasol yn eich sefydliad eich hun </w:t>
            </w:r>
          </w:p>
          <w:p w:rsidR="0000782D" w:rsidRPr="00514371" w:rsidRDefault="0000782D" w:rsidP="00017BB1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514371">
              <w:rPr>
                <w:lang w:val="cy-GB"/>
              </w:rPr>
              <w:t xml:space="preserve">diwygio’r cynllun gweithredu yn sgil eich gwerthusiad ac adborth gan bartneriaid comisiynu, y darparwr a phobl berthnasol yn eich sefydliad eich hun </w:t>
            </w:r>
          </w:p>
          <w:p w:rsidR="0000782D" w:rsidRPr="00514371" w:rsidRDefault="0000782D" w:rsidP="00017BB1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514371">
              <w:rPr>
                <w:lang w:val="cy-GB"/>
              </w:rPr>
              <w:t xml:space="preserve">myfyrio ar y broses o wella perfformiad contract er mwyn nodi unrhyw argymhellion ar gyfer gweithredu pellach </w:t>
            </w:r>
          </w:p>
          <w:p w:rsidR="0000782D" w:rsidRPr="00514371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00782D" w:rsidRPr="00514371" w:rsidRDefault="0000782D" w:rsidP="00017BB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lang w:val="cy-GB" w:eastAsia="en-GB"/>
              </w:rPr>
            </w:pPr>
          </w:p>
          <w:p w:rsidR="0000782D" w:rsidRPr="00514371" w:rsidRDefault="0000782D" w:rsidP="00017BB1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00782D" w:rsidRPr="00514371" w:rsidRDefault="0000782D" w:rsidP="00017BB1">
            <w:pPr>
              <w:pStyle w:val="NOSBodyHeading"/>
              <w:spacing w:line="360" w:lineRule="auto"/>
              <w:rPr>
                <w:rFonts w:cs="Arial"/>
                <w:lang w:val="cy-GB"/>
              </w:rPr>
            </w:pPr>
          </w:p>
          <w:p w:rsidR="0000782D" w:rsidRPr="00514371" w:rsidRDefault="0000782D" w:rsidP="00017BB1">
            <w:pPr>
              <w:autoSpaceDE w:val="0"/>
              <w:autoSpaceDN w:val="0"/>
              <w:adjustRightInd w:val="0"/>
              <w:spacing w:line="360" w:lineRule="auto"/>
              <w:ind w:left="884" w:hanging="567"/>
              <w:jc w:val="both"/>
              <w:rPr>
                <w:lang w:val="cy-GB"/>
              </w:rPr>
            </w:pPr>
          </w:p>
          <w:p w:rsidR="0000782D" w:rsidRPr="00514371" w:rsidRDefault="0000782D" w:rsidP="00017BB1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00782D" w:rsidRPr="00514371" w:rsidRDefault="0000782D" w:rsidP="00017BB1">
            <w:pPr>
              <w:pStyle w:val="NOSBodyHeading"/>
              <w:spacing w:line="360" w:lineRule="auto"/>
              <w:rPr>
                <w:rFonts w:cs="Arial"/>
                <w:b w:val="0"/>
                <w:lang w:val="cy-GB"/>
              </w:rPr>
            </w:pPr>
          </w:p>
          <w:p w:rsidR="0000782D" w:rsidRPr="00514371" w:rsidRDefault="0000782D" w:rsidP="00017BB1">
            <w:pPr>
              <w:autoSpaceDE w:val="0"/>
              <w:autoSpaceDN w:val="0"/>
              <w:adjustRightInd w:val="0"/>
              <w:spacing w:line="360" w:lineRule="auto"/>
              <w:ind w:left="884"/>
              <w:rPr>
                <w:lang w:val="cy-GB"/>
              </w:rPr>
            </w:pPr>
          </w:p>
        </w:tc>
      </w:tr>
    </w:tbl>
    <w:p w:rsidR="0000782D" w:rsidRPr="000A16B7" w:rsidRDefault="0000782D" w:rsidP="00C84AE6">
      <w:pPr>
        <w:spacing w:line="360" w:lineRule="auto"/>
        <w:rPr>
          <w:lang w:val="cy-GB"/>
        </w:rPr>
      </w:pPr>
      <w:r w:rsidRPr="000A16B7">
        <w:rPr>
          <w:lang w:val="cy-GB"/>
        </w:rPr>
        <w:lastRenderedPageBreak/>
        <w:br w:type="page"/>
      </w: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5811"/>
        <w:gridCol w:w="2127"/>
        <w:gridCol w:w="142"/>
        <w:gridCol w:w="141"/>
      </w:tblGrid>
      <w:tr w:rsidR="0000782D" w:rsidRPr="00392900" w:rsidTr="00017BB1">
        <w:trPr>
          <w:gridAfter w:val="1"/>
          <w:wAfter w:w="141" w:type="dxa"/>
        </w:trPr>
        <w:tc>
          <w:tcPr>
            <w:tcW w:w="2269" w:type="dxa"/>
          </w:tcPr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Default="0000782D" w:rsidP="00017BB1">
            <w:pPr>
              <w:spacing w:line="360" w:lineRule="auto"/>
              <w:rPr>
                <w:lang w:val="cy-GB"/>
              </w:rPr>
            </w:pPr>
          </w:p>
          <w:p w:rsidR="004306B4" w:rsidRPr="000A16B7" w:rsidRDefault="004306B4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Default="0000782D" w:rsidP="00017BB1">
            <w:pPr>
              <w:spacing w:line="360" w:lineRule="auto"/>
              <w:rPr>
                <w:lang w:val="cy-GB"/>
              </w:rPr>
            </w:pPr>
          </w:p>
          <w:p w:rsidR="004306B4" w:rsidRPr="000A16B7" w:rsidRDefault="004306B4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</w:tc>
        <w:tc>
          <w:tcPr>
            <w:tcW w:w="8080" w:type="dxa"/>
            <w:gridSpan w:val="3"/>
          </w:tcPr>
          <w:p w:rsidR="00514371" w:rsidRDefault="00514371" w:rsidP="00017BB1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Yn benodol i’r </w:t>
            </w:r>
            <w:r w:rsidR="005C2C2C">
              <w:rPr>
                <w:b/>
                <w:lang w:val="cy-GB"/>
              </w:rPr>
              <w:t>SGC</w:t>
            </w:r>
            <w:r>
              <w:rPr>
                <w:b/>
                <w:lang w:val="cy-GB"/>
              </w:rPr>
              <w:t xml:space="preserve"> hon </w:t>
            </w:r>
          </w:p>
          <w:p w:rsidR="0000782D" w:rsidRPr="000A16B7" w:rsidRDefault="0000782D" w:rsidP="00017BB1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mae perfformiad darparwr yn gysylltiedig â chyflawni canlyniadau 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pwysigrwydd gweithio ochr yn ochr â darparwyr i geisio gwella perfformiad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ffactorau a all achosi i ddarparwr danberfformio a sut i fynd i’r afael â’r rhain 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sut i gael at gymorth ar gyfer darparwyr y mae angen iddynt wella’u perfformiad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ddadansoddi goblygiadau’r math o gontract a’i strwythur o ran rheoli perfformiad </w:t>
            </w:r>
          </w:p>
          <w:p w:rsidR="0000782D" w:rsidRPr="000A16B7" w:rsidRDefault="00514371" w:rsidP="00017BB1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00782D" w:rsidRPr="000A16B7">
              <w:rPr>
                <w:rFonts w:cs="Arial"/>
                <w:b/>
                <w:lang w:val="cy-GB"/>
              </w:rPr>
              <w:t>Hawliau</w:t>
            </w:r>
          </w:p>
          <w:p w:rsidR="0000782D" w:rsidRPr="000A16B7" w:rsidRDefault="0000782D" w:rsidP="00017BB1">
            <w:pPr>
              <w:spacing w:line="300" w:lineRule="exact"/>
              <w:rPr>
                <w:lang w:val="cy-GB"/>
              </w:rPr>
            </w:pPr>
            <w:r w:rsidRPr="000A16B7">
              <w:rPr>
                <w:lang w:val="cy-GB"/>
              </w:rPr>
              <w:t xml:space="preserve"> </w:t>
            </w: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>gofynion cyfreithiol a gofynion y lleoliad gwaith o ran cwynion a chwythu’r chwiban</w:t>
            </w: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 xml:space="preserve">eich rôl chi a rolau pobl eraill o ran hybu comisiynu </w:t>
            </w:r>
            <w:r w:rsidRPr="000A16B7">
              <w:rPr>
                <w:b/>
                <w:lang w:val="cy-GB"/>
              </w:rPr>
              <w:t>cydgynhyrchiol</w:t>
            </w:r>
            <w:r w:rsidRPr="000A16B7">
              <w:rPr>
                <w:lang w:val="cy-GB"/>
              </w:rPr>
              <w:t xml:space="preserve"> 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0A16B7">
              <w:rPr>
                <w:rFonts w:ascii="Arial" w:hAnsi="Arial" w:cs="Arial"/>
                <w:b/>
                <w:lang w:val="cy-GB"/>
              </w:rPr>
              <w:t>unigolion</w:t>
            </w:r>
            <w:r w:rsidRPr="000A16B7">
              <w:rPr>
                <w:rFonts w:ascii="Arial" w:hAnsi="Arial" w:cs="Arial"/>
                <w:lang w:val="cy-GB"/>
              </w:rPr>
              <w:t xml:space="preserve">, </w:t>
            </w:r>
            <w:r w:rsidRPr="000A16B7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0A16B7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00782D" w:rsidRPr="000A16B7" w:rsidRDefault="00514371" w:rsidP="0051437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0782D" w:rsidRPr="000A16B7">
              <w:rPr>
                <w:rFonts w:cs="Arial"/>
                <w:b/>
                <w:lang w:val="cy-GB"/>
              </w:rPr>
              <w:t>Diogelu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 xml:space="preserve">deddfwriaeth, polisi cenedlaethol, fframweithiau, systemau lleol a gweithdrefnau amlddisgyblaethol sy’n ymwneud â diogelu ac </w:t>
            </w:r>
            <w:r w:rsidRPr="000A16B7">
              <w:rPr>
                <w:lang w:val="cy-GB"/>
              </w:rPr>
              <w:lastRenderedPageBreak/>
              <w:t>amddiffyn plant, pobl ifanc ac oedolion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y cyfrifoldeb sydd gan bawb i godi pryderon ynghylch achosion posibl o niwed neu gamdriniaeth, arferion gwael neu arferion gwahaniaethol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dangosyddion niwed neu gamdriniaeth bosibl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a phryd i roi gwybod i uwch reolwyr am unrhyw bryderon ynghylch niwed neu gamdriniaeth, gan gynnwys chwythu’r chwiban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00782D" w:rsidRPr="000A16B7" w:rsidRDefault="0000782D" w:rsidP="00017BB1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00782D" w:rsidRPr="000A16B7" w:rsidRDefault="00514371" w:rsidP="00017BB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00782D" w:rsidRPr="000A16B7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00782D" w:rsidRPr="000A16B7" w:rsidRDefault="0000782D" w:rsidP="00017BB1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0A16B7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0A16B7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00782D" w:rsidRPr="000A16B7" w:rsidRDefault="0000782D" w:rsidP="00017BB1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00782D" w:rsidRPr="000A16B7" w:rsidRDefault="00514371" w:rsidP="00017BB1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00782D" w:rsidRPr="000A16B7">
              <w:rPr>
                <w:rFonts w:cs="Arial"/>
                <w:lang w:val="cy-GB"/>
              </w:rPr>
              <w:t>Gweithio mewn partneriaeth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y gellir defnyddio </w:t>
            </w:r>
            <w:r w:rsidRPr="000A16B7">
              <w:rPr>
                <w:rFonts w:cs="Arial"/>
                <w:b/>
                <w:lang w:val="cy-GB"/>
              </w:rPr>
              <w:t>gweithio cydweithredol ac integredig</w:t>
            </w:r>
            <w:r w:rsidRPr="000A16B7">
              <w:rPr>
                <w:rFonts w:cs="Arial"/>
                <w:lang w:val="cy-GB"/>
              </w:rPr>
              <w:t xml:space="preserve"> i gynyddu adnoddau i’r eithaf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hybu comisiynu cydgynhyrchiol</w:t>
            </w: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gefnogi buddiannau unigolion a rhanddeiliaid eraill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i ddadansoddi </w:t>
            </w:r>
            <w:r w:rsidRPr="000A16B7">
              <w:rPr>
                <w:rFonts w:cs="Arial"/>
                <w:b/>
                <w:lang w:val="cy-GB"/>
              </w:rPr>
              <w:t>blaenoriaethau, buddiannau</w:t>
            </w:r>
            <w:r w:rsidRPr="000A16B7">
              <w:rPr>
                <w:rFonts w:cs="Arial"/>
                <w:lang w:val="cy-GB"/>
              </w:rPr>
              <w:t xml:space="preserve"> a chyfraniadau </w:t>
            </w:r>
            <w:r w:rsidRPr="000A16B7">
              <w:rPr>
                <w:rFonts w:cs="Arial"/>
                <w:b/>
                <w:lang w:val="cy-GB"/>
              </w:rPr>
              <w:t xml:space="preserve">rhanddeiliaid </w:t>
            </w:r>
            <w:r w:rsidRPr="000A16B7">
              <w:rPr>
                <w:rFonts w:cs="Arial"/>
                <w:lang w:val="cy-GB"/>
              </w:rPr>
              <w:t>a’u heffaith ar weithio mewn partneriaeth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i ddadansoddi’r ysgogwyr a’r cyfyngiadau sy’n effeithio ar </w:t>
            </w:r>
            <w:r w:rsidRPr="000A16B7">
              <w:rPr>
                <w:rFonts w:cs="Arial"/>
                <w:lang w:val="cy-GB"/>
              </w:rPr>
              <w:lastRenderedPageBreak/>
              <w:t>fusnesau a sefydliadau’r trydydd sector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b/>
                <w:lang w:val="cy-GB"/>
              </w:rPr>
              <w:t>prosesau busnes</w:t>
            </w:r>
            <w:r w:rsidRPr="000A16B7">
              <w:rPr>
                <w:rFonts w:cs="Arial"/>
                <w:lang w:val="cy-GB"/>
              </w:rPr>
              <w:t xml:space="preserve"> a </w:t>
            </w:r>
            <w:r w:rsidRPr="000A16B7">
              <w:rPr>
                <w:rFonts w:cs="Arial"/>
                <w:b/>
                <w:lang w:val="cy-GB"/>
              </w:rPr>
              <w:t>realiti gweithredol</w:t>
            </w:r>
            <w:r w:rsidRPr="000A16B7">
              <w:rPr>
                <w:rFonts w:cs="Arial"/>
                <w:lang w:val="cy-GB"/>
              </w:rPr>
              <w:t xml:space="preserve"> darparwyr gwasanaeth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ddylanwadu ar waith y bartneriaeth er mwyn cyflawni</w:t>
            </w:r>
            <w:r w:rsidRPr="000A16B7">
              <w:rPr>
                <w:rFonts w:cs="Arial"/>
                <w:b/>
                <w:lang w:val="cy-GB"/>
              </w:rPr>
              <w:t xml:space="preserve"> canlyniadau </w:t>
            </w:r>
            <w:r w:rsidRPr="000A16B7">
              <w:rPr>
                <w:rFonts w:cs="Arial"/>
                <w:lang w:val="cy-GB"/>
              </w:rPr>
              <w:t>y cytunwyd arnynt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ddefnyddio a datblygu polisïau, gweithdrefnau, canllawiau a phrotocolau integredig gyda phobl eraill sy’n ymwneud â phartneriaethau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y cyfyngiadau statudol ac ariannol ar gyfer </w:t>
            </w:r>
            <w:r w:rsidRPr="000A16B7">
              <w:rPr>
                <w:rFonts w:cs="Arial"/>
                <w:b/>
                <w:lang w:val="cy-GB"/>
              </w:rPr>
              <w:t>cytuno ar gyllidebau</w:t>
            </w:r>
            <w:r w:rsidRPr="000A16B7">
              <w:rPr>
                <w:rFonts w:cs="Arial"/>
                <w:lang w:val="cy-GB"/>
              </w:rPr>
              <w:t xml:space="preserve"> i gefnogi gweithio mewn partneriaeth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werthuso gweithio mewn partneriaeth yn effeithiol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0782D" w:rsidRPr="000A16B7" w:rsidRDefault="00514371" w:rsidP="00017BB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00782D" w:rsidRPr="000A16B7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00782D" w:rsidRPr="000A16B7" w:rsidRDefault="0000782D" w:rsidP="00017BB1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ddatblygu arfer sy’n hwyluso cymryd risgiau cadarnhaol</w:t>
            </w:r>
            <w:r w:rsidRPr="000A16B7">
              <w:rPr>
                <w:rFonts w:cs="Arial"/>
                <w:b/>
                <w:lang w:val="cy-GB"/>
              </w:rPr>
              <w:t xml:space="preserve">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0782D" w:rsidRPr="000A16B7" w:rsidRDefault="00514371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00782D" w:rsidRPr="000A16B7">
              <w:rPr>
                <w:rFonts w:cs="Arial"/>
                <w:b/>
                <w:lang w:val="cy-GB"/>
              </w:rPr>
              <w:t>Eich ymarfer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lastRenderedPageBreak/>
              <w:t>sut mae eich rôl yn cyfrannu at waith eich sefydliad a ble y gallwch fynd am gymorth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nodi blaenoriaethau a chyfrannu at osod blaenoriaethau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werthuso gwahanol ddulliau o fesur cyflawni canlyniadau</w:t>
            </w: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>sut i werthuso pwysigrwydd darpariaeth ataliol a chymunedol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technegau ar gyfer datrys problemau a meddwl yn arloesol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reoli cyllidebau ac adnoddau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i ddefnyddio </w:t>
            </w:r>
            <w:r w:rsidRPr="000A16B7">
              <w:rPr>
                <w:rFonts w:cs="Arial"/>
                <w:b/>
                <w:lang w:val="cy-GB"/>
              </w:rPr>
              <w:t>ymarfer seiliedig ar dystiolaeth</w:t>
            </w:r>
            <w:r w:rsidRPr="000A16B7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00782D" w:rsidRPr="000A16B7" w:rsidRDefault="00514371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0782D" w:rsidRPr="000A16B7">
              <w:rPr>
                <w:rFonts w:cs="Arial"/>
                <w:b/>
                <w:lang w:val="cy-GB"/>
              </w:rPr>
              <w:t>Damcaniaeth ar gyfer ymarfer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i werthuso effaith </w:t>
            </w:r>
            <w:r w:rsidRPr="000A16B7">
              <w:rPr>
                <w:rFonts w:cs="Arial"/>
                <w:b/>
                <w:lang w:val="cy-GB"/>
              </w:rPr>
              <w:t>modelau cymdeithasol, meddygol a busnes</w:t>
            </w:r>
            <w:r w:rsidRPr="000A16B7">
              <w:rPr>
                <w:rFonts w:cs="Arial"/>
                <w:lang w:val="cy-GB"/>
              </w:rPr>
              <w:t xml:space="preserve"> ar gyflawni canlyniadau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00782D" w:rsidRPr="000A16B7" w:rsidRDefault="0000782D" w:rsidP="00017BB1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00782D" w:rsidRPr="000A16B7" w:rsidRDefault="00514371" w:rsidP="0051437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0782D" w:rsidRPr="000A16B7">
              <w:rPr>
                <w:rFonts w:cs="Arial"/>
                <w:b/>
                <w:lang w:val="cy-GB"/>
              </w:rPr>
              <w:t>Datblygiad personol a phroffesiynol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reoli amser a llwyth gwaith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lastRenderedPageBreak/>
              <w:t xml:space="preserve">sut i roi adborth adeiladol 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00782D" w:rsidRPr="000A16B7" w:rsidRDefault="00514371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00782D" w:rsidRPr="000A16B7">
              <w:rPr>
                <w:rFonts w:cs="Arial"/>
                <w:b/>
                <w:lang w:val="cy-GB"/>
              </w:rPr>
              <w:t>Cyfathrebu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>sut i ddefnyddio cyfathrebu fel sail ar gyfer comisiynu cydgynhyrchiol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dulliau o reoli a hybu cyfathrebu effeithiol â </w:t>
            </w:r>
            <w:r w:rsidRPr="000A16B7">
              <w:rPr>
                <w:rFonts w:cs="Arial"/>
                <w:b/>
                <w:lang w:val="cy-GB"/>
              </w:rPr>
              <w:t>chydweithwyr</w:t>
            </w:r>
            <w:r w:rsidRPr="000A16B7">
              <w:rPr>
                <w:rFonts w:cs="Arial"/>
                <w:lang w:val="cy-GB"/>
              </w:rPr>
              <w:t>, unigolion a rhanddeiliaid eraill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00782D" w:rsidRPr="000A16B7" w:rsidRDefault="00514371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00782D" w:rsidRPr="000A16B7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lang w:val="cy-GB"/>
              </w:rPr>
            </w:pPr>
            <w:r w:rsidRPr="000A16B7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00782D" w:rsidRPr="000A16B7" w:rsidRDefault="0000782D" w:rsidP="00017BB1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0A16B7">
              <w:rPr>
                <w:rFonts w:ascii="Arial" w:hAnsi="Arial" w:cs="Arial"/>
                <w:lang w:val="cy-GB"/>
              </w:rPr>
              <w:t>dulliau o sicrhau bod data, gwybodaeth a dadansoddiadau ar gael yn rhwydd i unigolion, pobl allweddol a rhanddeiliaid eraill, gan gynnwys y rhai sy’n gwneud penderfyniadau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28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0A16B7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00782D" w:rsidRPr="000A16B7" w:rsidRDefault="00514371" w:rsidP="0051437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00782D" w:rsidRPr="000A16B7">
              <w:rPr>
                <w:rFonts w:cs="Arial"/>
                <w:b/>
                <w:lang w:val="cy-GB"/>
              </w:rPr>
              <w:t>Iechyd a Diogelwch</w:t>
            </w:r>
          </w:p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00782D" w:rsidRPr="000A16B7" w:rsidRDefault="0000782D" w:rsidP="00017BB1">
            <w:pPr>
              <w:numPr>
                <w:ilvl w:val="0"/>
                <w:numId w:val="28"/>
              </w:numPr>
              <w:spacing w:line="360" w:lineRule="auto"/>
              <w:rPr>
                <w:lang w:val="cy-GB"/>
              </w:rPr>
            </w:pPr>
            <w:r w:rsidRPr="000A16B7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00782D" w:rsidRPr="000A16B7" w:rsidRDefault="0000782D" w:rsidP="00017BB1">
            <w:pPr>
              <w:spacing w:line="360" w:lineRule="auto"/>
              <w:contextualSpacing/>
              <w:rPr>
                <w:lang w:val="cy-GB"/>
              </w:rPr>
            </w:pPr>
          </w:p>
        </w:tc>
      </w:tr>
      <w:tr w:rsidR="0000782D" w:rsidRPr="00392900" w:rsidTr="00017BB1">
        <w:trPr>
          <w:gridAfter w:val="3"/>
          <w:wAfter w:w="2410" w:type="dxa"/>
        </w:trPr>
        <w:tc>
          <w:tcPr>
            <w:tcW w:w="8080" w:type="dxa"/>
            <w:gridSpan w:val="2"/>
          </w:tcPr>
          <w:p w:rsidR="0000782D" w:rsidRPr="000A16B7" w:rsidRDefault="0000782D" w:rsidP="00017BB1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b/>
                <w:lang w:val="cy-GB"/>
              </w:rPr>
            </w:pPr>
          </w:p>
        </w:tc>
      </w:tr>
      <w:tr w:rsidR="0000782D" w:rsidRPr="000A16B7" w:rsidTr="00017BB1">
        <w:tc>
          <w:tcPr>
            <w:tcW w:w="10490" w:type="dxa"/>
            <w:gridSpan w:val="5"/>
          </w:tcPr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 xml:space="preserve">Gwybodaeth ychwanegol </w:t>
            </w: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00782D" w:rsidRPr="00392900" w:rsidTr="00017BB1">
        <w:tc>
          <w:tcPr>
            <w:tcW w:w="2269" w:type="dxa"/>
          </w:tcPr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0A16B7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  <w:gridSpan w:val="4"/>
          </w:tcPr>
          <w:p w:rsidR="0000782D" w:rsidRPr="00392900" w:rsidRDefault="0000782D" w:rsidP="00F376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392900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5C2C2C">
              <w:rPr>
                <w:lang w:val="cy-GB"/>
              </w:rPr>
              <w:t>SGC</w:t>
            </w:r>
            <w:r w:rsidRPr="00392900">
              <w:rPr>
                <w:lang w:val="cy-GB"/>
              </w:rPr>
              <w:t xml:space="preserve"> fod yn gymwys; ni ddylid eu hystyried yn ddatganiadau ystod sy’n ofynnol i gyflawni’r </w:t>
            </w:r>
            <w:r w:rsidR="005C2C2C">
              <w:rPr>
                <w:lang w:val="cy-GB" w:eastAsia="en-GB"/>
              </w:rPr>
              <w:t>SGC.</w:t>
            </w:r>
          </w:p>
          <w:p w:rsidR="0000782D" w:rsidRPr="00392900" w:rsidRDefault="0000782D" w:rsidP="00F376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00782D" w:rsidRPr="00392900" w:rsidRDefault="0000782D" w:rsidP="00F376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392900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00782D" w:rsidRPr="00392900" w:rsidRDefault="0000782D" w:rsidP="00F376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00782D" w:rsidRPr="00392900" w:rsidRDefault="0000782D" w:rsidP="00F37657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392900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 w:eastAsia="en-GB"/>
              </w:rPr>
            </w:pPr>
          </w:p>
          <w:p w:rsidR="0000782D" w:rsidRPr="00392900" w:rsidRDefault="0000782D" w:rsidP="00017BB1">
            <w:pPr>
              <w:pStyle w:val="NOSBodyText"/>
              <w:spacing w:line="360" w:lineRule="auto"/>
              <w:rPr>
                <w:lang w:val="cy-GB"/>
              </w:rPr>
            </w:pPr>
            <w:r w:rsidRPr="00392900">
              <w:rPr>
                <w:b/>
                <w:lang w:val="cy-GB" w:eastAsia="en-GB"/>
              </w:rPr>
              <w:t>Partneriaid comisiynu</w:t>
            </w:r>
            <w:r w:rsidRPr="00392900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chynrychiolwyr cymunedol, yn ogystal â sefydliadau rydych chi’n ymgymryd â gweithgareddau comisiynu ar y cyd â hwy neu sy’n darparu gwasanaethau</w:t>
            </w:r>
            <w:r w:rsidRPr="00392900">
              <w:rPr>
                <w:lang w:val="cy-GB"/>
              </w:rPr>
              <w:t>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 w:eastAsia="en-GB"/>
              </w:rPr>
            </w:pPr>
          </w:p>
          <w:p w:rsidR="0000782D" w:rsidRPr="00392900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lang w:val="cy-GB" w:eastAsia="en-GB"/>
              </w:rPr>
            </w:pPr>
            <w:r w:rsidRPr="00392900">
              <w:rPr>
                <w:bCs/>
                <w:lang w:val="cy-GB"/>
              </w:rPr>
              <w:t>Gall</w:t>
            </w:r>
            <w:r w:rsidRPr="00392900">
              <w:rPr>
                <w:b/>
                <w:lang w:val="cy-GB"/>
              </w:rPr>
              <w:t xml:space="preserve"> pobl berthnasol </w:t>
            </w:r>
            <w:r w:rsidRPr="00392900">
              <w:rPr>
                <w:lang w:val="cy-GB"/>
              </w:rPr>
              <w:t>gynnwys pobl sy’n gwneud penderfyniadau, unigolion, pobl allweddol, cymunedau, darparwyr gwasanaeth a phobl eraill, a byddant yn amrywio yn unol â’r materion a’r amgylchiadau</w:t>
            </w:r>
            <w:r w:rsidRPr="00392900">
              <w:rPr>
                <w:rFonts w:eastAsia="Times New Roman"/>
                <w:lang w:val="cy-GB" w:eastAsia="en-GB"/>
              </w:rPr>
              <w:t>.</w:t>
            </w:r>
          </w:p>
          <w:p w:rsidR="0000782D" w:rsidRPr="00392900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392900">
              <w:rPr>
                <w:b/>
                <w:lang w:val="cy-GB" w:eastAsia="en-GB"/>
              </w:rPr>
              <w:t>Sefydliad</w:t>
            </w:r>
            <w:r w:rsidRPr="00392900">
              <w:rPr>
                <w:lang w:val="cy-GB" w:eastAsia="en-GB"/>
              </w:rPr>
              <w:t xml:space="preserve"> yw’r asiantaeth, cwmni neu awdurdod lleol yr ydych chi’n gweithio neu’n gwirfoddoli iddo/iddi, yn berchen arno/arni neu’n ei reoli/rheoli; os ydych chi’n derbyn taliadau uniongyrchol neu’n ariannu eich gwasanaethau eich hun, mae’n golygu chi a’r bobl </w:t>
            </w:r>
            <w:r>
              <w:rPr>
                <w:lang w:val="cy-GB" w:eastAsia="en-GB"/>
              </w:rPr>
              <w:t>sy’n</w:t>
            </w:r>
            <w:r w:rsidRPr="00392900">
              <w:rPr>
                <w:lang w:val="cy-GB" w:eastAsia="en-GB"/>
              </w:rPr>
              <w:t xml:space="preserve"> gweithio i chi</w:t>
            </w:r>
            <w:r w:rsidRPr="00392900">
              <w:rPr>
                <w:color w:val="000000"/>
                <w:lang w:val="cy-GB" w:eastAsia="en-GB"/>
              </w:rPr>
              <w:t>.</w:t>
            </w:r>
          </w:p>
          <w:p w:rsidR="0000782D" w:rsidRPr="00392900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392900">
              <w:rPr>
                <w:b/>
                <w:lang w:val="cy-GB" w:eastAsia="en-GB"/>
              </w:rPr>
              <w:t xml:space="preserve">Canlyniadau </w:t>
            </w:r>
            <w:r w:rsidRPr="00392900">
              <w:rPr>
                <w:lang w:val="cy-GB" w:eastAsia="en-GB"/>
              </w:rPr>
              <w:t xml:space="preserve"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</w:t>
            </w:r>
            <w:r w:rsidRPr="00392900">
              <w:rPr>
                <w:lang w:val="cy-GB" w:eastAsia="en-GB"/>
              </w:rPr>
              <w:lastRenderedPageBreak/>
              <w:t>dinesydd trwy roi swyddogaeth ganolog i unigolion wrth werthuso effeithiolrwydd comisiynu</w:t>
            </w:r>
            <w:r w:rsidRPr="00392900">
              <w:rPr>
                <w:rFonts w:eastAsia="Times New Roman"/>
                <w:lang w:val="cy-GB" w:eastAsia="en-GB"/>
              </w:rPr>
              <w:t>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rFonts w:eastAsia="Times New Roman"/>
                <w:b/>
                <w:bCs/>
                <w:color w:val="000000"/>
                <w:lang w:val="cy-GB" w:eastAsia="en-GB"/>
              </w:rPr>
              <w:t>Meini prawf</w:t>
            </w:r>
            <w:r w:rsidRPr="00392900">
              <w:rPr>
                <w:rFonts w:eastAsia="Times New Roman"/>
                <w:b/>
                <w:color w:val="000000"/>
                <w:lang w:val="cy-GB" w:eastAsia="en-GB"/>
              </w:rPr>
              <w:t xml:space="preserve"> </w:t>
            </w:r>
            <w:r w:rsidRPr="00392900">
              <w:rPr>
                <w:rFonts w:eastAsia="Times New Roman"/>
                <w:bCs/>
                <w:color w:val="000000"/>
                <w:lang w:val="cy-GB" w:eastAsia="en-GB"/>
              </w:rPr>
              <w:t>yw ffactorau y gellir eu defnyddio i fesur a barnu a yw canlyniad wedi’i gyflawni ai peidio, faint o gynnydd a wnaed neu ba mor dda y gwnaed rhywbeth</w:t>
            </w:r>
            <w:r w:rsidRPr="00392900">
              <w:rPr>
                <w:lang w:val="cy-GB"/>
              </w:rPr>
              <w:t>.</w:t>
            </w:r>
          </w:p>
          <w:p w:rsidR="0000782D" w:rsidRPr="000A16B7" w:rsidRDefault="0000782D" w:rsidP="00017BB1">
            <w:pPr>
              <w:pStyle w:val="NOSBodyText"/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NOSBodyText"/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NOSBodyText"/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NOSBodyText"/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NOSBodyText"/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</w:tc>
      </w:tr>
      <w:tr w:rsidR="0000782D" w:rsidRPr="000A16B7" w:rsidTr="00017BB1">
        <w:trPr>
          <w:gridAfter w:val="2"/>
          <w:wAfter w:w="283" w:type="dxa"/>
        </w:trPr>
        <w:tc>
          <w:tcPr>
            <w:tcW w:w="2269" w:type="dxa"/>
          </w:tcPr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0A16B7">
              <w:rPr>
                <w:rFonts w:cs="Arial"/>
                <w:lang w:val="cy-GB"/>
              </w:rPr>
              <w:lastRenderedPageBreak/>
              <w:br w:type="page"/>
            </w:r>
            <w:r w:rsidRPr="000A16B7">
              <w:rPr>
                <w:color w:val="548DD4"/>
                <w:sz w:val="22"/>
                <w:szCs w:val="22"/>
                <w:lang w:val="cy-GB"/>
              </w:rPr>
              <w:t>Cwmpas/ystod yn gysylltiedig â gwybodaeth a dealltwriaeth</w:t>
            </w:r>
            <w:r w:rsidRPr="000A16B7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</w:p>
          <w:p w:rsidR="0000782D" w:rsidRPr="000A16B7" w:rsidRDefault="0000782D" w:rsidP="00017BB1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0A16B7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0A16B7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  <w:gridSpan w:val="2"/>
          </w:tcPr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5C2C2C">
              <w:rPr>
                <w:lang w:val="cy-GB"/>
              </w:rPr>
              <w:t>SGC</w:t>
            </w:r>
            <w:r w:rsidRPr="00392900">
              <w:rPr>
                <w:lang w:val="cy-GB"/>
              </w:rPr>
              <w:t xml:space="preserve"> fod yn gymwys; ni ddylid eu hystyried yn ddatganiadau ystod sy’n ofynnol i gyflawni’r </w:t>
            </w:r>
            <w:r w:rsidR="005C2C2C">
              <w:rPr>
                <w:lang w:val="cy-GB"/>
              </w:rPr>
              <w:t>SGC</w:t>
            </w:r>
            <w:r w:rsidRPr="00392900">
              <w:rPr>
                <w:lang w:val="cy-GB"/>
              </w:rPr>
              <w:t>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b/>
                <w:lang w:val="cy-GB"/>
              </w:rPr>
            </w:pPr>
            <w:r w:rsidRPr="00392900">
              <w:rPr>
                <w:b/>
                <w:lang w:val="cy-GB"/>
              </w:rPr>
              <w:t>Mae’n rhaid cymhwyso pob datganiad am wybodaeth yng nghyd-destun y safon hon.</w:t>
            </w:r>
          </w:p>
          <w:p w:rsidR="0000782D" w:rsidRPr="00392900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 w:eastAsia="zh-CN"/>
              </w:rPr>
              <w:t xml:space="preserve">Mae’r broses </w:t>
            </w:r>
            <w:r w:rsidRPr="00392900">
              <w:rPr>
                <w:b/>
                <w:bCs/>
                <w:lang w:val="cy-GB" w:eastAsia="zh-CN"/>
              </w:rPr>
              <w:t>cydgynhyrchu</w:t>
            </w:r>
            <w:r w:rsidRPr="00392900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Yr </w:t>
            </w:r>
            <w:r w:rsidRPr="00392900">
              <w:rPr>
                <w:b/>
                <w:lang w:val="cy-GB"/>
              </w:rPr>
              <w:t>unigolyn</w:t>
            </w:r>
            <w:r w:rsidRPr="00392900">
              <w:rPr>
                <w:lang w:val="cy-GB"/>
              </w:rPr>
              <w:t xml:space="preserve"> yw’r oedolyn, plentyn neu berson ifanc sy’n derbyn gwasanaeth.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b/>
                <w:lang w:val="cy-GB"/>
              </w:rPr>
              <w:t>Pobl allweddol</w:t>
            </w:r>
            <w:r w:rsidRPr="00392900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5C2C2C">
              <w:rPr>
                <w:lang w:val="cy-GB"/>
              </w:rPr>
              <w:t>cynhalwyr</w:t>
            </w:r>
            <w:r w:rsidRPr="00392900">
              <w:rPr>
                <w:lang w:val="cy-GB"/>
              </w:rPr>
              <w:t xml:space="preserve"> a phobl eraill y mae gan yr unigolyn berthynas gefnogol â nhw.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Defnyddir y model </w:t>
            </w:r>
            <w:r w:rsidRPr="00392900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392900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Defnyddir y term </w:t>
            </w:r>
            <w:r w:rsidRPr="00392900">
              <w:rPr>
                <w:b/>
                <w:lang w:val="cy-GB"/>
              </w:rPr>
              <w:t>sefydliad</w:t>
            </w:r>
            <w:r w:rsidRPr="00392900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Mae </w:t>
            </w:r>
            <w:r w:rsidRPr="00392900">
              <w:rPr>
                <w:b/>
                <w:lang w:val="cy-GB"/>
              </w:rPr>
              <w:t xml:space="preserve">gweithio cydweithredol ac integredig </w:t>
            </w:r>
            <w:r w:rsidRPr="00392900">
              <w:rPr>
                <w:lang w:val="cy-GB"/>
              </w:rPr>
              <w:t xml:space="preserve">yn disgrifio ystod o ffyrdd y gall </w:t>
            </w:r>
            <w:r w:rsidRPr="00392900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00782D" w:rsidRPr="00392900" w:rsidRDefault="0000782D" w:rsidP="00017BB1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Mae </w:t>
            </w:r>
            <w:r w:rsidRPr="00392900">
              <w:rPr>
                <w:b/>
                <w:lang w:val="cy-GB"/>
              </w:rPr>
              <w:t xml:space="preserve">blaenoriaethau a buddiannau </w:t>
            </w:r>
            <w:r w:rsidRPr="00392900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00782D" w:rsidRPr="00392900" w:rsidRDefault="0000782D" w:rsidP="00017BB1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Mae </w:t>
            </w:r>
            <w:r w:rsidRPr="00392900">
              <w:rPr>
                <w:b/>
                <w:lang w:val="cy-GB"/>
              </w:rPr>
              <w:t>rhanddeiliaid</w:t>
            </w:r>
            <w:r w:rsidRPr="00392900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ind w:left="45" w:hanging="45"/>
              <w:rPr>
                <w:lang w:val="cy-GB"/>
              </w:rPr>
            </w:pPr>
            <w:r w:rsidRPr="00392900">
              <w:rPr>
                <w:lang w:val="cy-GB"/>
              </w:rPr>
              <w:t xml:space="preserve">Mae </w:t>
            </w:r>
            <w:r w:rsidRPr="00392900">
              <w:rPr>
                <w:b/>
                <w:lang w:val="cy-GB"/>
              </w:rPr>
              <w:t>prosesau busnes</w:t>
            </w:r>
            <w:r w:rsidRPr="00392900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00782D" w:rsidRPr="00392900" w:rsidRDefault="0000782D" w:rsidP="00017BB1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b/>
                <w:lang w:val="cy-GB"/>
              </w:rPr>
              <w:t>Realiti gweithredol</w:t>
            </w:r>
            <w:r w:rsidRPr="00392900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b/>
                <w:lang w:val="cy-GB"/>
              </w:rPr>
              <w:t xml:space="preserve">Canlyniadau </w:t>
            </w:r>
            <w:r w:rsidRPr="00392900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00782D" w:rsidRPr="00392900" w:rsidRDefault="0000782D" w:rsidP="00017BB1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Mae </w:t>
            </w:r>
            <w:r w:rsidRPr="00392900">
              <w:rPr>
                <w:b/>
                <w:lang w:val="cy-GB"/>
              </w:rPr>
              <w:t>cytuno ar gyllidebau</w:t>
            </w:r>
            <w:r w:rsidRPr="00392900">
              <w:rPr>
                <w:color w:val="FF0000"/>
                <w:lang w:val="cy-GB"/>
              </w:rPr>
              <w:t xml:space="preserve"> </w:t>
            </w:r>
            <w:r w:rsidRPr="00392900">
              <w:rPr>
                <w:lang w:val="cy-GB"/>
              </w:rPr>
              <w:t xml:space="preserve">yn cynnwys cyfuno neu gronni cyllidebau o fewn </w:t>
            </w:r>
            <w:r w:rsidRPr="00392900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00782D" w:rsidRPr="00392900" w:rsidRDefault="0000782D" w:rsidP="00017BB1">
            <w:pPr>
              <w:spacing w:line="360" w:lineRule="auto"/>
              <w:rPr>
                <w:b/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Mae </w:t>
            </w:r>
            <w:r w:rsidRPr="00392900">
              <w:rPr>
                <w:b/>
                <w:lang w:val="cy-GB"/>
              </w:rPr>
              <w:t>ymarfer seiliedig ar dystiolaeth</w:t>
            </w:r>
            <w:r w:rsidRPr="00392900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 xml:space="preserve">Mae’r </w:t>
            </w:r>
            <w:r w:rsidRPr="00392900">
              <w:rPr>
                <w:b/>
                <w:lang w:val="cy-GB"/>
              </w:rPr>
              <w:t xml:space="preserve">model cymdeithasol </w:t>
            </w:r>
            <w:r w:rsidRPr="00392900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5C2C2C">
              <w:rPr>
                <w:lang w:val="cy-GB"/>
              </w:rPr>
              <w:t>Mae’r</w:t>
            </w:r>
            <w:r w:rsidRPr="00392900">
              <w:rPr>
                <w:lang w:val="cy-GB"/>
              </w:rPr>
              <w:t xml:space="preserve"> </w:t>
            </w:r>
            <w:r w:rsidRPr="00392900">
              <w:rPr>
                <w:b/>
                <w:lang w:val="cy-GB"/>
              </w:rPr>
              <w:t>model meddygol</w:t>
            </w:r>
            <w:r w:rsidRPr="00392900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392900">
              <w:rPr>
                <w:b/>
                <w:lang w:val="cy-GB"/>
              </w:rPr>
              <w:t>modelau busnes</w:t>
            </w:r>
            <w:r w:rsidRPr="00392900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b/>
                <w:lang w:val="cy-GB"/>
              </w:rPr>
            </w:pPr>
            <w:r w:rsidRPr="00392900">
              <w:rPr>
                <w:b/>
                <w:lang w:val="cy-GB"/>
              </w:rPr>
              <w:t xml:space="preserve">Cydweithwyr </w:t>
            </w:r>
            <w:r w:rsidRPr="00392900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392900">
              <w:rPr>
                <w:b/>
                <w:lang w:val="cy-GB"/>
              </w:rPr>
              <w:t xml:space="preserve"> </w:t>
            </w: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017BB1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eu trin fel unigolyn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eu trin yn gyfartal a pheidio ag wynebu gwahaniaethu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eu parchu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preifatrwydd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eu trin mewn ffordd urddasol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eu diogelu rhag perygl a niwed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gyfathrebu gan ddefnyddio eu dulliau cyfathrebu ac iaith ddewisol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I allu cael gafael ar wybodaeth amdanynt hwy eu hunain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Barchu gwerth ac urddas cynhenid pob unigolyn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Parchu hawliau dynol plant, pobl ifanc ac oedolion</w:t>
            </w:r>
          </w:p>
          <w:p w:rsidR="0000782D" w:rsidRPr="00392900" w:rsidRDefault="0000782D" w:rsidP="007524FD">
            <w:pPr>
              <w:spacing w:line="360" w:lineRule="auto"/>
              <w:rPr>
                <w:rFonts w:eastAsia="Times New Roman"/>
                <w:lang w:val="cy-GB"/>
              </w:rPr>
            </w:pPr>
            <w:r w:rsidRPr="00392900">
              <w:rPr>
                <w:rFonts w:eastAsia="Times New Roman"/>
                <w:lang w:val="cy-GB"/>
              </w:rPr>
              <w:t>Parchu hawl pobl i gymryd risgiau cadarnhaol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Bod yn dryloyw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Bod yn atebol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Bod yn gymesur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Bod yn gyson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Bod wedi’u targedu</w:t>
            </w:r>
          </w:p>
          <w:p w:rsidR="0000782D" w:rsidRPr="00392900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Bod yn ddiduedd</w:t>
            </w:r>
          </w:p>
          <w:p w:rsidR="0000782D" w:rsidRPr="000A16B7" w:rsidRDefault="0000782D" w:rsidP="007524FD">
            <w:pPr>
              <w:spacing w:line="360" w:lineRule="auto"/>
              <w:rPr>
                <w:lang w:val="cy-GB"/>
              </w:rPr>
            </w:pPr>
            <w:r w:rsidRPr="00392900">
              <w:rPr>
                <w:lang w:val="cy-GB"/>
              </w:rPr>
              <w:t>Galluogi darparwyr</w:t>
            </w:r>
          </w:p>
          <w:p w:rsidR="0000782D" w:rsidRPr="000A16B7" w:rsidRDefault="0000782D" w:rsidP="00017BB1">
            <w:pPr>
              <w:spacing w:line="360" w:lineRule="auto"/>
              <w:rPr>
                <w:lang w:val="cy-GB"/>
              </w:rPr>
            </w:pPr>
          </w:p>
        </w:tc>
      </w:tr>
    </w:tbl>
    <w:p w:rsidR="0000782D" w:rsidRPr="000A16B7" w:rsidRDefault="0000782D" w:rsidP="00C84AE6">
      <w:pPr>
        <w:spacing w:line="360" w:lineRule="auto"/>
        <w:rPr>
          <w:lang w:val="cy-GB"/>
        </w:rPr>
      </w:pPr>
      <w:r w:rsidRPr="000A16B7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514371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514371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Sgiliau Gofal a Datblygu</w:t>
            </w:r>
          </w:p>
          <w:p w:rsidR="0000782D" w:rsidRPr="00514371" w:rsidRDefault="0000782D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514371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00782D" w:rsidRPr="00514371" w:rsidRDefault="00D102A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2</w:t>
            </w:r>
          </w:p>
          <w:p w:rsidR="004306B4" w:rsidRPr="00514371" w:rsidRDefault="004306B4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Chwefror 2014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Chwefror 2019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0" w:name="_GoBack"/>
            <w:bookmarkEnd w:id="0"/>
          </w:p>
        </w:tc>
      </w:tr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Cyfredol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Gwreiddiol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223A62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Sgiliau Gofal a Datblygu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0A16B7" w:rsidTr="007D638E">
        <w:tc>
          <w:tcPr>
            <w:tcW w:w="2387" w:type="dxa"/>
          </w:tcPr>
          <w:p w:rsidR="0000782D" w:rsidRPr="00514371" w:rsidRDefault="0000782D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00782D" w:rsidRPr="00514371" w:rsidRDefault="0000782D" w:rsidP="00AD54D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" w:name="StartOriginURN"/>
            <w:bookmarkStart w:id="2" w:name="EndOriginURN"/>
            <w:bookmarkEnd w:id="1"/>
            <w:bookmarkEnd w:id="2"/>
            <w:r w:rsidRPr="00514371">
              <w:rPr>
                <w:rFonts w:cs="Arial"/>
                <w:lang w:val="cy-GB"/>
              </w:rPr>
              <w:t>CPC424</w:t>
            </w:r>
          </w:p>
          <w:p w:rsidR="0000782D" w:rsidRPr="00514371" w:rsidRDefault="0000782D" w:rsidP="00AD54D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392900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392900" w:rsidTr="00F51104">
        <w:tc>
          <w:tcPr>
            <w:tcW w:w="2387" w:type="dxa"/>
          </w:tcPr>
          <w:p w:rsidR="0000782D" w:rsidRPr="00514371" w:rsidRDefault="0000782D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514371">
              <w:rPr>
                <w:rFonts w:cs="Arial"/>
                <w:lang w:val="cy-GB"/>
              </w:rPr>
              <w:t>Comisiynu, Caffael a Chontractio ar gyfer Gwasanaethau Gofal</w:t>
            </w:r>
          </w:p>
          <w:p w:rsidR="0000782D" w:rsidRPr="00514371" w:rsidRDefault="000078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00782D" w:rsidRPr="000A16B7" w:rsidTr="007D638E">
        <w:tc>
          <w:tcPr>
            <w:tcW w:w="2387" w:type="dxa"/>
          </w:tcPr>
          <w:p w:rsidR="0000782D" w:rsidRPr="00514371" w:rsidRDefault="0000782D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514371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00782D" w:rsidRPr="00514371" w:rsidRDefault="0000782D" w:rsidP="00AD54D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3" w:name="StartKeywords"/>
            <w:bookmarkStart w:id="4" w:name="EndKeywords"/>
            <w:bookmarkEnd w:id="3"/>
            <w:bookmarkEnd w:id="4"/>
            <w:r w:rsidRPr="00514371">
              <w:rPr>
                <w:rFonts w:cs="Arial"/>
                <w:lang w:val="cy-GB"/>
              </w:rPr>
              <w:t>Contract; perfformiad; comisiynu; gwella</w:t>
            </w:r>
          </w:p>
          <w:p w:rsidR="0000782D" w:rsidRPr="00514371" w:rsidRDefault="0000782D" w:rsidP="00AD54D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00782D" w:rsidRPr="000A16B7" w:rsidRDefault="0000782D" w:rsidP="009A75E7">
      <w:pPr>
        <w:spacing w:line="360" w:lineRule="auto"/>
        <w:rPr>
          <w:lang w:val="cy-GB"/>
        </w:rPr>
      </w:pPr>
    </w:p>
    <w:sectPr w:rsidR="0000782D" w:rsidRPr="000A16B7" w:rsidSect="000A2920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4E" w:rsidRDefault="0090324E" w:rsidP="00521BFC">
      <w:r>
        <w:separator/>
      </w:r>
    </w:p>
  </w:endnote>
  <w:endnote w:type="continuationSeparator" w:id="0">
    <w:p w:rsidR="0090324E" w:rsidRDefault="0090324E" w:rsidP="00521BFC">
      <w:r>
        <w:continuationSeparator/>
      </w:r>
    </w:p>
  </w:endnote>
  <w:endnote w:type="continuationNotice" w:id="1">
    <w:p w:rsidR="0090324E" w:rsidRDefault="009032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00782D" w:rsidRPr="000A16B7" w:rsidTr="00017BB1">
      <w:trPr>
        <w:trHeight w:val="567"/>
      </w:trPr>
      <w:tc>
        <w:tcPr>
          <w:tcW w:w="9356" w:type="dxa"/>
        </w:tcPr>
        <w:p w:rsidR="0000782D" w:rsidRPr="000A16B7" w:rsidRDefault="0000782D" w:rsidP="00A83686">
          <w:pPr>
            <w:rPr>
              <w:rFonts w:ascii="Calibri" w:hAnsi="Calibri"/>
              <w:sz w:val="20"/>
              <w:szCs w:val="20"/>
              <w:lang w:val="cy-GB"/>
            </w:rPr>
          </w:pPr>
          <w:r w:rsidRPr="000A16B7">
            <w:rPr>
              <w:rFonts w:ascii="Calibri" w:hAnsi="Calibri"/>
              <w:sz w:val="20"/>
              <w:szCs w:val="20"/>
              <w:lang w:val="cy-GB"/>
            </w:rPr>
            <w:t>SCDCPC424 Gwella perfformiad contract</w:t>
          </w:r>
        </w:p>
      </w:tc>
      <w:tc>
        <w:tcPr>
          <w:tcW w:w="1134" w:type="dxa"/>
        </w:tcPr>
        <w:p w:rsidR="0000782D" w:rsidRPr="000A16B7" w:rsidRDefault="0000782D" w:rsidP="00017BB1">
          <w:pPr>
            <w:jc w:val="right"/>
            <w:rPr>
              <w:rFonts w:ascii="Calibri" w:hAnsi="Calibri"/>
              <w:sz w:val="20"/>
              <w:szCs w:val="20"/>
              <w:lang w:val="cy-GB"/>
            </w:rPr>
          </w:pPr>
          <w:r w:rsidRPr="000A16B7">
            <w:rPr>
              <w:rFonts w:ascii="Calibri" w:hAnsi="Calibri"/>
              <w:sz w:val="20"/>
              <w:szCs w:val="20"/>
              <w:lang w:val="cy-GB"/>
            </w:rPr>
            <w:fldChar w:fldCharType="begin"/>
          </w:r>
          <w:r w:rsidRPr="000A16B7">
            <w:rPr>
              <w:rFonts w:ascii="Calibri" w:hAnsi="Calibri"/>
              <w:sz w:val="20"/>
              <w:szCs w:val="20"/>
              <w:lang w:val="cy-GB"/>
            </w:rPr>
            <w:instrText xml:space="preserve"> PAGE  \* Arabic  \* MERGEFORMAT </w:instrText>
          </w:r>
          <w:r w:rsidRPr="000A16B7">
            <w:rPr>
              <w:rFonts w:ascii="Calibri" w:hAnsi="Calibri"/>
              <w:sz w:val="20"/>
              <w:szCs w:val="20"/>
              <w:lang w:val="cy-GB"/>
            </w:rPr>
            <w:fldChar w:fldCharType="separate"/>
          </w:r>
          <w:r w:rsidR="00514371">
            <w:rPr>
              <w:rFonts w:ascii="Calibri" w:hAnsi="Calibri"/>
              <w:noProof/>
              <w:sz w:val="20"/>
              <w:szCs w:val="20"/>
              <w:lang w:val="cy-GB"/>
            </w:rPr>
            <w:t>14</w:t>
          </w:r>
          <w:r w:rsidRPr="000A16B7">
            <w:rPr>
              <w:rFonts w:ascii="Calibri" w:hAnsi="Calibri"/>
              <w:sz w:val="20"/>
              <w:szCs w:val="20"/>
              <w:lang w:val="cy-GB"/>
            </w:rPr>
            <w:fldChar w:fldCharType="end"/>
          </w:r>
        </w:p>
      </w:tc>
    </w:tr>
  </w:tbl>
  <w:p w:rsidR="0000782D" w:rsidRPr="000A16B7" w:rsidRDefault="0000782D" w:rsidP="00A83686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4E" w:rsidRDefault="0090324E" w:rsidP="00521BFC">
      <w:r>
        <w:separator/>
      </w:r>
    </w:p>
  </w:footnote>
  <w:footnote w:type="continuationSeparator" w:id="0">
    <w:p w:rsidR="0090324E" w:rsidRDefault="0090324E" w:rsidP="00521BFC">
      <w:r>
        <w:continuationSeparator/>
      </w:r>
    </w:p>
  </w:footnote>
  <w:footnote w:type="continuationNotice" w:id="1">
    <w:p w:rsidR="0090324E" w:rsidRDefault="009032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00782D" w:rsidRPr="000A16B7" w:rsidTr="00017BB1">
      <w:trPr>
        <w:cantSplit/>
        <w:trHeight w:val="1065"/>
      </w:trPr>
      <w:tc>
        <w:tcPr>
          <w:tcW w:w="8222" w:type="dxa"/>
          <w:vAlign w:val="center"/>
        </w:tcPr>
        <w:p w:rsidR="0000782D" w:rsidRPr="000A16B7" w:rsidRDefault="0000782D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0A16B7">
            <w:rPr>
              <w:rFonts w:ascii="Calibri" w:hAnsi="Calibri"/>
              <w:sz w:val="32"/>
              <w:szCs w:val="32"/>
              <w:lang w:val="cy-GB"/>
            </w:rPr>
            <w:t>SCDCPC424</w:t>
          </w:r>
        </w:p>
        <w:p w:rsidR="0000782D" w:rsidRPr="000A16B7" w:rsidRDefault="0000782D" w:rsidP="00416FEB">
          <w:pPr>
            <w:pStyle w:val="Header"/>
            <w:rPr>
              <w:lang w:val="cy-GB"/>
            </w:rPr>
          </w:pPr>
          <w:r w:rsidRPr="000A16B7">
            <w:rPr>
              <w:rFonts w:ascii="Calibri" w:hAnsi="Calibri"/>
              <w:sz w:val="32"/>
              <w:szCs w:val="32"/>
              <w:lang w:val="cy-GB"/>
            </w:rPr>
            <w:t>Gwella perfformiad contract</w:t>
          </w:r>
        </w:p>
      </w:tc>
      <w:tc>
        <w:tcPr>
          <w:tcW w:w="2552" w:type="dxa"/>
        </w:tcPr>
        <w:p w:rsidR="0000782D" w:rsidRPr="000A16B7" w:rsidRDefault="00D102A4" w:rsidP="00017BB1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>
                <wp:extent cx="1428750" cy="85725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782D" w:rsidRPr="000A16B7" w:rsidRDefault="00D102A4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A0A4B4D"/>
    <w:multiLevelType w:val="hybridMultilevel"/>
    <w:tmpl w:val="763A3420"/>
    <w:lvl w:ilvl="0" w:tplc="5D5872A8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8B00FA"/>
    <w:multiLevelType w:val="hybridMultilevel"/>
    <w:tmpl w:val="546C4E0C"/>
    <w:lvl w:ilvl="0" w:tplc="B846D1B4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F2509"/>
    <w:multiLevelType w:val="hybridMultilevel"/>
    <w:tmpl w:val="6178CD8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E6A747C"/>
    <w:multiLevelType w:val="hybridMultilevel"/>
    <w:tmpl w:val="5FC2EE1A"/>
    <w:lvl w:ilvl="0" w:tplc="B24A6334">
      <w:start w:val="1"/>
      <w:numFmt w:val="decimal"/>
      <w:lvlText w:val="P%1"/>
      <w:lvlJc w:val="left"/>
      <w:pPr>
        <w:ind w:left="2007" w:hanging="360"/>
      </w:pPr>
      <w:rPr>
        <w:rFonts w:ascii="Arial" w:hAnsi="Arial" w:cs="Times New Roman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8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80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6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7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1D22A0A"/>
    <w:multiLevelType w:val="hybridMultilevel"/>
    <w:tmpl w:val="E1AAB3EA"/>
    <w:lvl w:ilvl="0" w:tplc="E86E84C6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2C92414"/>
    <w:multiLevelType w:val="hybridMultilevel"/>
    <w:tmpl w:val="4C7CA3A4"/>
    <w:lvl w:ilvl="0" w:tplc="2E420930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5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22"/>
  </w:num>
  <w:num w:numId="6">
    <w:abstractNumId w:val="26"/>
  </w:num>
  <w:num w:numId="7">
    <w:abstractNumId w:val="25"/>
  </w:num>
  <w:num w:numId="8">
    <w:abstractNumId w:val="23"/>
  </w:num>
  <w:num w:numId="9">
    <w:abstractNumId w:val="17"/>
  </w:num>
  <w:num w:numId="10">
    <w:abstractNumId w:val="24"/>
  </w:num>
  <w:num w:numId="11">
    <w:abstractNumId w:val="12"/>
  </w:num>
  <w:num w:numId="12">
    <w:abstractNumId w:val="2"/>
  </w:num>
  <w:num w:numId="13">
    <w:abstractNumId w:val="0"/>
  </w:num>
  <w:num w:numId="14">
    <w:abstractNumId w:val="15"/>
  </w:num>
  <w:num w:numId="15">
    <w:abstractNumId w:val="16"/>
  </w:num>
  <w:num w:numId="16">
    <w:abstractNumId w:val="9"/>
  </w:num>
  <w:num w:numId="17">
    <w:abstractNumId w:val="24"/>
  </w:num>
  <w:num w:numId="18">
    <w:abstractNumId w:val="13"/>
  </w:num>
  <w:num w:numId="19">
    <w:abstractNumId w:val="21"/>
  </w:num>
  <w:num w:numId="20">
    <w:abstractNumId w:val="8"/>
  </w:num>
  <w:num w:numId="21">
    <w:abstractNumId w:val="20"/>
  </w:num>
  <w:num w:numId="22">
    <w:abstractNumId w:val="6"/>
  </w:num>
  <w:num w:numId="23">
    <w:abstractNumId w:val="11"/>
  </w:num>
  <w:num w:numId="24">
    <w:abstractNumId w:val="18"/>
  </w:num>
  <w:num w:numId="25">
    <w:abstractNumId w:val="19"/>
  </w:num>
  <w:num w:numId="26">
    <w:abstractNumId w:val="7"/>
  </w:num>
  <w:num w:numId="27">
    <w:abstractNumId w:val="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0D4C"/>
    <w:rsid w:val="00004E0E"/>
    <w:rsid w:val="0000782D"/>
    <w:rsid w:val="00013E41"/>
    <w:rsid w:val="0001420A"/>
    <w:rsid w:val="00015A73"/>
    <w:rsid w:val="00017BB1"/>
    <w:rsid w:val="00035310"/>
    <w:rsid w:val="0003628A"/>
    <w:rsid w:val="00042283"/>
    <w:rsid w:val="0004792D"/>
    <w:rsid w:val="00056DA0"/>
    <w:rsid w:val="0006472C"/>
    <w:rsid w:val="00066CD2"/>
    <w:rsid w:val="00074FC4"/>
    <w:rsid w:val="00084043"/>
    <w:rsid w:val="000913F4"/>
    <w:rsid w:val="00093E71"/>
    <w:rsid w:val="00096244"/>
    <w:rsid w:val="00096378"/>
    <w:rsid w:val="000A16B7"/>
    <w:rsid w:val="000A2920"/>
    <w:rsid w:val="000A3533"/>
    <w:rsid w:val="000A5804"/>
    <w:rsid w:val="000B6D40"/>
    <w:rsid w:val="000D6CE2"/>
    <w:rsid w:val="000E0A1D"/>
    <w:rsid w:val="000E1A7E"/>
    <w:rsid w:val="000E2DAF"/>
    <w:rsid w:val="0010370F"/>
    <w:rsid w:val="0010479B"/>
    <w:rsid w:val="00115544"/>
    <w:rsid w:val="0014569B"/>
    <w:rsid w:val="0016238F"/>
    <w:rsid w:val="001634E2"/>
    <w:rsid w:val="0017302A"/>
    <w:rsid w:val="00181052"/>
    <w:rsid w:val="00185673"/>
    <w:rsid w:val="00194432"/>
    <w:rsid w:val="00196CE5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F5"/>
    <w:rsid w:val="00201BF6"/>
    <w:rsid w:val="00210CE3"/>
    <w:rsid w:val="00212B2D"/>
    <w:rsid w:val="002143B8"/>
    <w:rsid w:val="00223A62"/>
    <w:rsid w:val="00224BC7"/>
    <w:rsid w:val="00257BEC"/>
    <w:rsid w:val="00270B1B"/>
    <w:rsid w:val="00274856"/>
    <w:rsid w:val="002774F2"/>
    <w:rsid w:val="00283FF7"/>
    <w:rsid w:val="002B42E5"/>
    <w:rsid w:val="002B72B5"/>
    <w:rsid w:val="002C069C"/>
    <w:rsid w:val="002C10D9"/>
    <w:rsid w:val="002C325B"/>
    <w:rsid w:val="002C5190"/>
    <w:rsid w:val="002D59F8"/>
    <w:rsid w:val="002D6EF4"/>
    <w:rsid w:val="002E43C7"/>
    <w:rsid w:val="002E7CB1"/>
    <w:rsid w:val="002F4B2F"/>
    <w:rsid w:val="002F606F"/>
    <w:rsid w:val="002F647D"/>
    <w:rsid w:val="00303FD8"/>
    <w:rsid w:val="003053CA"/>
    <w:rsid w:val="003319D1"/>
    <w:rsid w:val="00345B06"/>
    <w:rsid w:val="00350521"/>
    <w:rsid w:val="003521D1"/>
    <w:rsid w:val="0035296E"/>
    <w:rsid w:val="00356EE4"/>
    <w:rsid w:val="003722CD"/>
    <w:rsid w:val="003735A2"/>
    <w:rsid w:val="00380447"/>
    <w:rsid w:val="00387C8A"/>
    <w:rsid w:val="00392900"/>
    <w:rsid w:val="003C3606"/>
    <w:rsid w:val="003D3486"/>
    <w:rsid w:val="003D7EF3"/>
    <w:rsid w:val="003E2694"/>
    <w:rsid w:val="003F31BF"/>
    <w:rsid w:val="003F7686"/>
    <w:rsid w:val="00401539"/>
    <w:rsid w:val="00404C92"/>
    <w:rsid w:val="00414C13"/>
    <w:rsid w:val="00416FEB"/>
    <w:rsid w:val="004306B4"/>
    <w:rsid w:val="00431135"/>
    <w:rsid w:val="00436586"/>
    <w:rsid w:val="004375BF"/>
    <w:rsid w:val="00447016"/>
    <w:rsid w:val="00451CC3"/>
    <w:rsid w:val="00453A43"/>
    <w:rsid w:val="0046296B"/>
    <w:rsid w:val="00471AD8"/>
    <w:rsid w:val="00474BDB"/>
    <w:rsid w:val="004901D8"/>
    <w:rsid w:val="00491F62"/>
    <w:rsid w:val="004971C9"/>
    <w:rsid w:val="00497C87"/>
    <w:rsid w:val="004B5CD5"/>
    <w:rsid w:val="004D0EEB"/>
    <w:rsid w:val="004D1F3B"/>
    <w:rsid w:val="004D6960"/>
    <w:rsid w:val="004E05F7"/>
    <w:rsid w:val="004E381F"/>
    <w:rsid w:val="004E4B3A"/>
    <w:rsid w:val="00514371"/>
    <w:rsid w:val="00521BFC"/>
    <w:rsid w:val="005274FF"/>
    <w:rsid w:val="005306A3"/>
    <w:rsid w:val="00540315"/>
    <w:rsid w:val="00540609"/>
    <w:rsid w:val="00550971"/>
    <w:rsid w:val="0057289F"/>
    <w:rsid w:val="00572ED7"/>
    <w:rsid w:val="005833E2"/>
    <w:rsid w:val="005B1283"/>
    <w:rsid w:val="005C2C2C"/>
    <w:rsid w:val="005C618B"/>
    <w:rsid w:val="005F58DE"/>
    <w:rsid w:val="005F7445"/>
    <w:rsid w:val="005F7944"/>
    <w:rsid w:val="006043DF"/>
    <w:rsid w:val="00610303"/>
    <w:rsid w:val="0061176A"/>
    <w:rsid w:val="00621F6A"/>
    <w:rsid w:val="006229C7"/>
    <w:rsid w:val="00637642"/>
    <w:rsid w:val="006505B2"/>
    <w:rsid w:val="0066162E"/>
    <w:rsid w:val="0066435F"/>
    <w:rsid w:val="006714C6"/>
    <w:rsid w:val="00673383"/>
    <w:rsid w:val="00685DDB"/>
    <w:rsid w:val="00692FE1"/>
    <w:rsid w:val="00694A3C"/>
    <w:rsid w:val="006A129C"/>
    <w:rsid w:val="006A2876"/>
    <w:rsid w:val="006B2227"/>
    <w:rsid w:val="006C2574"/>
    <w:rsid w:val="006E35D0"/>
    <w:rsid w:val="006E3FAC"/>
    <w:rsid w:val="00702C16"/>
    <w:rsid w:val="007156AF"/>
    <w:rsid w:val="00715D93"/>
    <w:rsid w:val="00717CC3"/>
    <w:rsid w:val="00724E04"/>
    <w:rsid w:val="00742745"/>
    <w:rsid w:val="00746AF2"/>
    <w:rsid w:val="007524FD"/>
    <w:rsid w:val="00754DFA"/>
    <w:rsid w:val="00760490"/>
    <w:rsid w:val="007613C5"/>
    <w:rsid w:val="00762E29"/>
    <w:rsid w:val="00767B50"/>
    <w:rsid w:val="00780EAB"/>
    <w:rsid w:val="007837AE"/>
    <w:rsid w:val="00785D30"/>
    <w:rsid w:val="00791C53"/>
    <w:rsid w:val="00793116"/>
    <w:rsid w:val="007A13ED"/>
    <w:rsid w:val="007B0672"/>
    <w:rsid w:val="007B177A"/>
    <w:rsid w:val="007C7DC5"/>
    <w:rsid w:val="007D3CB0"/>
    <w:rsid w:val="007D52B7"/>
    <w:rsid w:val="007D638E"/>
    <w:rsid w:val="007E7D16"/>
    <w:rsid w:val="00822BD3"/>
    <w:rsid w:val="0083186B"/>
    <w:rsid w:val="0083348D"/>
    <w:rsid w:val="0084302D"/>
    <w:rsid w:val="00847AD7"/>
    <w:rsid w:val="00847EA7"/>
    <w:rsid w:val="00853BAE"/>
    <w:rsid w:val="0086001A"/>
    <w:rsid w:val="00860755"/>
    <w:rsid w:val="00866606"/>
    <w:rsid w:val="00870E66"/>
    <w:rsid w:val="0088183A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D57FC"/>
    <w:rsid w:val="008D76FA"/>
    <w:rsid w:val="008D7EF4"/>
    <w:rsid w:val="008E44DE"/>
    <w:rsid w:val="008E5B59"/>
    <w:rsid w:val="008E7F1B"/>
    <w:rsid w:val="00901FEF"/>
    <w:rsid w:val="0090324E"/>
    <w:rsid w:val="0090729C"/>
    <w:rsid w:val="0091573A"/>
    <w:rsid w:val="009235A9"/>
    <w:rsid w:val="009413C7"/>
    <w:rsid w:val="00943A8F"/>
    <w:rsid w:val="009507C1"/>
    <w:rsid w:val="00954281"/>
    <w:rsid w:val="00957D1B"/>
    <w:rsid w:val="00963ACF"/>
    <w:rsid w:val="009648B9"/>
    <w:rsid w:val="00967459"/>
    <w:rsid w:val="00970FA0"/>
    <w:rsid w:val="00987F3E"/>
    <w:rsid w:val="009A0E0E"/>
    <w:rsid w:val="009A75E7"/>
    <w:rsid w:val="009C26F9"/>
    <w:rsid w:val="009C3949"/>
    <w:rsid w:val="009D20A6"/>
    <w:rsid w:val="009D30D6"/>
    <w:rsid w:val="009D3E57"/>
    <w:rsid w:val="009E1C4E"/>
    <w:rsid w:val="009E742F"/>
    <w:rsid w:val="009F50E4"/>
    <w:rsid w:val="00A04E9E"/>
    <w:rsid w:val="00A077DF"/>
    <w:rsid w:val="00A10E28"/>
    <w:rsid w:val="00A17E85"/>
    <w:rsid w:val="00A3659D"/>
    <w:rsid w:val="00A4375E"/>
    <w:rsid w:val="00A664B3"/>
    <w:rsid w:val="00A726B7"/>
    <w:rsid w:val="00A83686"/>
    <w:rsid w:val="00A9731F"/>
    <w:rsid w:val="00AA411C"/>
    <w:rsid w:val="00AB493E"/>
    <w:rsid w:val="00AB7B1B"/>
    <w:rsid w:val="00AC5EE5"/>
    <w:rsid w:val="00AC7D66"/>
    <w:rsid w:val="00AD54DB"/>
    <w:rsid w:val="00AE3CFF"/>
    <w:rsid w:val="00AE57EF"/>
    <w:rsid w:val="00B07856"/>
    <w:rsid w:val="00B15A0B"/>
    <w:rsid w:val="00B165CE"/>
    <w:rsid w:val="00B4020E"/>
    <w:rsid w:val="00B51DAF"/>
    <w:rsid w:val="00B652FB"/>
    <w:rsid w:val="00B8193D"/>
    <w:rsid w:val="00B82F94"/>
    <w:rsid w:val="00B85EA9"/>
    <w:rsid w:val="00B9383C"/>
    <w:rsid w:val="00B9514C"/>
    <w:rsid w:val="00BA174C"/>
    <w:rsid w:val="00BA2445"/>
    <w:rsid w:val="00BD0922"/>
    <w:rsid w:val="00BD4D5E"/>
    <w:rsid w:val="00BE436E"/>
    <w:rsid w:val="00BF663F"/>
    <w:rsid w:val="00C077DD"/>
    <w:rsid w:val="00C121D1"/>
    <w:rsid w:val="00C12BFA"/>
    <w:rsid w:val="00C13948"/>
    <w:rsid w:val="00C241A2"/>
    <w:rsid w:val="00C2528F"/>
    <w:rsid w:val="00C25603"/>
    <w:rsid w:val="00C272A0"/>
    <w:rsid w:val="00C327DC"/>
    <w:rsid w:val="00C555E7"/>
    <w:rsid w:val="00C617B3"/>
    <w:rsid w:val="00C731F0"/>
    <w:rsid w:val="00C767C0"/>
    <w:rsid w:val="00C84AE6"/>
    <w:rsid w:val="00C92654"/>
    <w:rsid w:val="00C936AC"/>
    <w:rsid w:val="00CA0B7E"/>
    <w:rsid w:val="00CB164D"/>
    <w:rsid w:val="00CC2785"/>
    <w:rsid w:val="00CC3B1D"/>
    <w:rsid w:val="00CF15B3"/>
    <w:rsid w:val="00D04A61"/>
    <w:rsid w:val="00D102A4"/>
    <w:rsid w:val="00D50956"/>
    <w:rsid w:val="00D646F9"/>
    <w:rsid w:val="00D945AE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3F6D"/>
    <w:rsid w:val="00DF4BC7"/>
    <w:rsid w:val="00E01504"/>
    <w:rsid w:val="00E01B4C"/>
    <w:rsid w:val="00E16E22"/>
    <w:rsid w:val="00E2189F"/>
    <w:rsid w:val="00E2444C"/>
    <w:rsid w:val="00E256E8"/>
    <w:rsid w:val="00E27661"/>
    <w:rsid w:val="00E277F4"/>
    <w:rsid w:val="00E30B15"/>
    <w:rsid w:val="00E33B38"/>
    <w:rsid w:val="00E36B6C"/>
    <w:rsid w:val="00E431CA"/>
    <w:rsid w:val="00E52EC5"/>
    <w:rsid w:val="00E559FE"/>
    <w:rsid w:val="00E569AA"/>
    <w:rsid w:val="00E664BC"/>
    <w:rsid w:val="00E76A5F"/>
    <w:rsid w:val="00E94A3A"/>
    <w:rsid w:val="00E9566B"/>
    <w:rsid w:val="00EA2FD7"/>
    <w:rsid w:val="00EB2AAF"/>
    <w:rsid w:val="00EC19B3"/>
    <w:rsid w:val="00EC1AA4"/>
    <w:rsid w:val="00EC214B"/>
    <w:rsid w:val="00EC71A9"/>
    <w:rsid w:val="00ED4338"/>
    <w:rsid w:val="00F04967"/>
    <w:rsid w:val="00F129CF"/>
    <w:rsid w:val="00F152BB"/>
    <w:rsid w:val="00F2179E"/>
    <w:rsid w:val="00F2717E"/>
    <w:rsid w:val="00F307E2"/>
    <w:rsid w:val="00F35213"/>
    <w:rsid w:val="00F37657"/>
    <w:rsid w:val="00F404FC"/>
    <w:rsid w:val="00F42886"/>
    <w:rsid w:val="00F4296C"/>
    <w:rsid w:val="00F45010"/>
    <w:rsid w:val="00F51104"/>
    <w:rsid w:val="00F662FE"/>
    <w:rsid w:val="00F75610"/>
    <w:rsid w:val="00F829CD"/>
    <w:rsid w:val="00F90C6C"/>
    <w:rsid w:val="00FA164F"/>
    <w:rsid w:val="00FB3A0A"/>
    <w:rsid w:val="00FB5697"/>
    <w:rsid w:val="00FB6FAF"/>
    <w:rsid w:val="00FB7C0B"/>
    <w:rsid w:val="00FB7E70"/>
    <w:rsid w:val="00FC2345"/>
    <w:rsid w:val="00FC36F9"/>
    <w:rsid w:val="00FC6F60"/>
    <w:rsid w:val="00FD775F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8D7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7EF4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  <w:style w:type="paragraph" w:styleId="BodyText">
    <w:name w:val="Body Text"/>
    <w:basedOn w:val="Normal"/>
    <w:link w:val="BodyTextChar"/>
    <w:uiPriority w:val="99"/>
    <w:semiHidden/>
    <w:rsid w:val="008D7EF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7EF4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4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2013-11-25T15:24:00Z</cp:lastPrinted>
  <dcterms:created xsi:type="dcterms:W3CDTF">2013-11-26T16:08:00Z</dcterms:created>
  <dcterms:modified xsi:type="dcterms:W3CDTF">2014-01-06T11:39:00Z</dcterms:modified>
</cp:coreProperties>
</file>