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3040D6" w:rsidRDefault="003040D6" w:rsidP="00346372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346372">
              <w:rPr>
                <w:rFonts w:cs="DIN-Regular"/>
                <w:color w:val="000000"/>
              </w:rPr>
              <w:t>Mae’r safon hon yn ymwneud â datblygu perthnasoedd gweithio cynhyrchiol ag unigolion, pobl allweddol a rhanddeiliaid, gan gynnwys cydweithwyr o’ch sefydliad eich hun a sefydliadau eraill.  Mae’n cynnwys datblygu, cynnal ac adolygu perthnasoedd gweithio.</w:t>
            </w:r>
          </w:p>
          <w:p w:rsidR="007D4ECA" w:rsidRDefault="007D4ECA" w:rsidP="00346372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7D4ECA" w:rsidRPr="007D4ECA" w:rsidRDefault="007D4ECA" w:rsidP="007D4ECA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7D4ECA" w:rsidRPr="00346372" w:rsidRDefault="007D4ECA" w:rsidP="00346372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3040D6" w:rsidRPr="00152B46" w:rsidRDefault="003040D6" w:rsidP="00346372">
      <w:pPr>
        <w:spacing w:line="360" w:lineRule="auto"/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3040D6" w:rsidRPr="00152B46" w:rsidRDefault="003040D6" w:rsidP="00346372">
            <w:pPr>
              <w:spacing w:line="360" w:lineRule="auto"/>
            </w:pPr>
          </w:p>
        </w:tc>
        <w:tc>
          <w:tcPr>
            <w:tcW w:w="8505" w:type="dxa"/>
          </w:tcPr>
          <w:p w:rsidR="003040D6" w:rsidRPr="00152B46" w:rsidRDefault="003040D6" w:rsidP="0034637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eastAsia="en-GB"/>
              </w:rPr>
            </w:pPr>
            <w:r w:rsidRPr="00152B46">
              <w:rPr>
                <w:rFonts w:cs="Arial"/>
                <w:b/>
              </w:rPr>
              <w:t>Datblygu perthnasoedd gweithio ag unigolion, pobl allweddol a rhanddeiliaid</w:t>
            </w:r>
            <w:r w:rsidRPr="00152B46">
              <w:rPr>
                <w:rFonts w:cs="Arial"/>
                <w:b/>
                <w:lang w:eastAsia="en-GB"/>
              </w:rPr>
              <w:t xml:space="preserve"> </w:t>
            </w: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  <w:r w:rsidRPr="00152B46">
              <w:rPr>
                <w:color w:val="5979CD"/>
              </w:rPr>
              <w:t>Mae’n rhaid i chi allu:</w:t>
            </w: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color w:val="5979CD"/>
              </w:rPr>
            </w:pPr>
          </w:p>
          <w:p w:rsidR="00346372" w:rsidRPr="00152B46" w:rsidRDefault="00346372" w:rsidP="00346372">
            <w:pPr>
              <w:spacing w:line="360" w:lineRule="auto"/>
              <w:rPr>
                <w:color w:val="5979CD"/>
              </w:rPr>
            </w:pPr>
          </w:p>
          <w:p w:rsidR="003040D6" w:rsidRPr="00152B46" w:rsidRDefault="003040D6" w:rsidP="00346372">
            <w:pPr>
              <w:spacing w:line="360" w:lineRule="auto"/>
            </w:pPr>
            <w:r w:rsidRPr="00152B46">
              <w:rPr>
                <w:color w:val="5979CD"/>
              </w:rPr>
              <w:t>Mae’n rhaid i chi allu:</w:t>
            </w:r>
          </w:p>
        </w:tc>
        <w:tc>
          <w:tcPr>
            <w:tcW w:w="8505" w:type="dxa"/>
          </w:tcPr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/>
              </w:rPr>
            </w:pPr>
            <w:r w:rsidRPr="00152B46">
              <w:rPr>
                <w:rFonts w:cs="Arial"/>
                <w:lang w:eastAsia="en-GB"/>
              </w:rPr>
              <w:lastRenderedPageBreak/>
              <w:t xml:space="preserve">nodi’r canlyniadau rydych chi’n eu ceisio o berthnasoedd gweithio ag </w:t>
            </w:r>
            <w:r w:rsidRPr="00152B46">
              <w:rPr>
                <w:rFonts w:cs="Arial"/>
                <w:b/>
                <w:lang w:eastAsia="en-GB"/>
              </w:rPr>
              <w:t>unigolion</w:t>
            </w:r>
            <w:r w:rsidRPr="00152B46">
              <w:rPr>
                <w:rFonts w:cs="Arial"/>
                <w:lang w:eastAsia="en-GB"/>
              </w:rPr>
              <w:t xml:space="preserve">, </w:t>
            </w:r>
            <w:r w:rsidRPr="00152B46">
              <w:rPr>
                <w:rFonts w:cs="Arial"/>
                <w:b/>
                <w:lang w:eastAsia="en-GB"/>
              </w:rPr>
              <w:t xml:space="preserve">pobl allweddol </w:t>
            </w:r>
            <w:r w:rsidRPr="00152B46">
              <w:rPr>
                <w:rFonts w:cs="Arial"/>
                <w:lang w:eastAsia="en-GB"/>
              </w:rPr>
              <w:t xml:space="preserve">a </w:t>
            </w:r>
            <w:r w:rsidRPr="00152B46">
              <w:rPr>
                <w:rFonts w:cs="Arial"/>
                <w:b/>
                <w:lang w:eastAsia="en-GB"/>
              </w:rPr>
              <w:t>rhanddeiliaid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nodi’r blaenoriaethau, disgwyliadau a/neu ganlyniadau personol y mae unigolion, pobl allweddol a rhanddeiliaid yn eu ceisio o’r berthynas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hybu ewyllys da, ymddiriedaeth a hyder yn eich </w:t>
            </w:r>
            <w:r w:rsidRPr="00152B46">
              <w:rPr>
                <w:rFonts w:cs="Arial"/>
                <w:b/>
              </w:rPr>
              <w:t>cysylltiad proffesiynol</w:t>
            </w:r>
            <w:r w:rsidRPr="00152B46">
              <w:rPr>
                <w:rFonts w:cs="Arial"/>
              </w:rPr>
              <w:t xml:space="preserve"> ag unigolion, pobl allweddol a rhanddeiliaid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/>
              </w:rPr>
            </w:pPr>
            <w:r w:rsidRPr="00152B46">
              <w:rPr>
                <w:rFonts w:cs="Arial"/>
              </w:rPr>
              <w:t>asesu’r cyfraniad y gall pob parti ei wneud at berthnasoedd gweithio yn eich maes gwaith</w:t>
            </w:r>
            <w:r w:rsidRPr="00152B46">
              <w:rPr>
                <w:rFonts w:cs="Arial"/>
                <w:lang w:eastAsia="en-GB"/>
              </w:rPr>
              <w:t xml:space="preserve"> 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  <w:lang w:eastAsia="en-GB"/>
              </w:rPr>
              <w:t>nodi’r cymorth a’r eiriolaeth y gallai fod eu hangen ar unigolion, pobl allweddol a rhanddeiliaid i gymryd rhan mewn perthnasoedd gweithio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datblygu cynllun gweithredu eglur i gynnwys unigolion, pobl allweddol a rhanddeiliaid mewn ffordd </w:t>
            </w:r>
            <w:r w:rsidRPr="00152B46">
              <w:rPr>
                <w:rFonts w:cs="Arial"/>
                <w:b/>
                <w:lang w:eastAsia="en-GB"/>
              </w:rPr>
              <w:t>gynhwysol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cytuno gyda’r bobl dan sylw sut y bydd unrhyw dyndra neu </w:t>
            </w:r>
            <w:r w:rsidRPr="00152B46">
              <w:rPr>
                <w:rFonts w:cs="Arial"/>
                <w:b/>
              </w:rPr>
              <w:t>wrthdaro buddiannau</w:t>
            </w:r>
            <w:r w:rsidRPr="00152B46">
              <w:rPr>
                <w:rFonts w:cs="Arial"/>
              </w:rPr>
              <w:t xml:space="preserve"> a allai godi o weithio ar y cyd yn cael ei ddatrys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sefydlu dulliau effeithiol o fonitro ac adolygu cynnydd y gwaith ar y cyd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herio agweddau, ymddygiad a systemau sy’n wahaniaethol neu’n ormesol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gweithredu’n brydlon ar unrhyw bryderon diogelu a allai godi</w:t>
            </w:r>
          </w:p>
          <w:p w:rsidR="003040D6" w:rsidRPr="00152B46" w:rsidRDefault="003040D6" w:rsidP="00346372">
            <w:p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/>
              <w:rPr>
                <w:rFonts w:cs="Arial"/>
              </w:rPr>
            </w:pPr>
          </w:p>
          <w:p w:rsidR="003040D6" w:rsidRPr="00152B46" w:rsidRDefault="003040D6" w:rsidP="00346372">
            <w:p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b/>
                <w:lang w:eastAsia="en-GB"/>
              </w:rPr>
            </w:pPr>
            <w:r w:rsidRPr="00152B46">
              <w:rPr>
                <w:rFonts w:cs="Arial"/>
                <w:b/>
              </w:rPr>
              <w:t>Cynnal perthnasoedd gweithio effeithiol ag unigolion, pobl allweddol a rhanddeiliaid</w:t>
            </w:r>
            <w:r w:rsidRPr="00152B46">
              <w:rPr>
                <w:rFonts w:cs="Arial"/>
                <w:b/>
                <w:lang w:eastAsia="en-GB"/>
              </w:rPr>
              <w:t xml:space="preserve"> </w:t>
            </w:r>
          </w:p>
          <w:p w:rsidR="003040D6" w:rsidRPr="00152B46" w:rsidRDefault="003040D6" w:rsidP="00346372">
            <w:p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</w:rPr>
            </w:pP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darparu gwybodaeth yn brydlon, yn gywir ac mewn fformat </w:t>
            </w:r>
            <w:r w:rsidRPr="00152B46">
              <w:rPr>
                <w:rFonts w:cs="Arial"/>
                <w:b/>
              </w:rPr>
              <w:t>hygyrch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gweithio yn unol â gofynion cyfreithiol a gofynion y lleoliad gwaith wrth rannu gwybodaeth â phobl eraill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ymgysylltu ag unigolion, pobl allweddol a rhanddeiliaid er mwyn dylanwadu ar y gwaith sy’n cael ei wneud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cyflawni </w:t>
            </w:r>
            <w:r w:rsidRPr="00152B46">
              <w:rPr>
                <w:rFonts w:cs="Arial"/>
                <w:b/>
              </w:rPr>
              <w:t>cytundebau</w:t>
            </w:r>
            <w:r w:rsidRPr="00152B46">
              <w:rPr>
                <w:rFonts w:cs="Arial"/>
              </w:rPr>
              <w:t xml:space="preserve"> er mwyn gwireddu ymrwymiadau a chyfrifoldebau unigol ac ar y cyd 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negodi yn ystod perthnasoedd gweithio er mwyn cyflawni canlyniadau, cynyddu dealltwriaeth neu ddatrys problemau 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  <w:b/>
              </w:rPr>
              <w:t>datrys</w:t>
            </w:r>
            <w:r w:rsidRPr="00152B46">
              <w:rPr>
                <w:rFonts w:cs="Arial"/>
              </w:rPr>
              <w:t xml:space="preserve"> anawsterau mewn perthnasoedd gweithio er mwyn hybu effeithiolrwydd perthnasoedd 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lastRenderedPageBreak/>
              <w:t>ceisio cyngor a chymorth yn brydlon pan fydd angen i chi drafod agweddau ar y gwaith sydd y tu hwnt i’ch cyfrifoldeb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dilyn gweithdrefnau eich sefydliad ar gyfer cofnodi cysylltiad ag unigolion, pobl allweddol a rhanddeiliaid</w:t>
            </w:r>
          </w:p>
          <w:p w:rsidR="003040D6" w:rsidRPr="00152B46" w:rsidRDefault="003040D6" w:rsidP="00346372">
            <w:pPr>
              <w:tabs>
                <w:tab w:val="left" w:pos="601"/>
              </w:tabs>
              <w:spacing w:before="240" w:line="360" w:lineRule="auto"/>
              <w:ind w:left="317" w:hanging="283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>Adolygu effeithiolrwydd perthnasoedd gweithio</w:t>
            </w:r>
          </w:p>
          <w:p w:rsidR="003040D6" w:rsidRPr="00152B46" w:rsidRDefault="003040D6" w:rsidP="00346372">
            <w:pPr>
              <w:tabs>
                <w:tab w:val="left" w:pos="601"/>
              </w:tabs>
              <w:spacing w:line="360" w:lineRule="auto"/>
              <w:ind w:left="317" w:hanging="283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adolygu eich perthnasoedd gweithio’n rheolaidd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mesur i ba raddau y mae perthnasoedd gweithio’n cyflawni’r canlyniadau a nodwyd gennych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asesu i ba raddau y gallai perthnasoedd gweithio fod wedi creu gwrthdaro buddiannau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nodi ffyrdd o wella trefniadau gweithio ar y cyd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myfyrio ar natur a gwerth eich cyfraniad at berthnasoedd gweithio 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defnyddio goruchwyliaeth, adolygiadau a’ch myfyrdodau eich hun i ddatblygu eich arferion gwaith eich hun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>gweithredu unrhyw newidiadau neu addasiadau sydd eu hangen i wneud y perthnasoedd yn fwy effeithiol</w:t>
            </w:r>
          </w:p>
          <w:p w:rsidR="003040D6" w:rsidRPr="00152B46" w:rsidRDefault="003040D6" w:rsidP="00346372">
            <w:pPr>
              <w:numPr>
                <w:ilvl w:val="0"/>
                <w:numId w:val="14"/>
              </w:num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rhoi gwybodaeth i </w:t>
            </w:r>
            <w:r w:rsidRPr="00152B46">
              <w:rPr>
                <w:rFonts w:cs="Arial"/>
                <w:b/>
              </w:rPr>
              <w:t>bobl berthnasol</w:t>
            </w:r>
            <w:r w:rsidRPr="00152B46">
              <w:rPr>
                <w:rFonts w:cs="Arial"/>
              </w:rPr>
              <w:t xml:space="preserve"> am sut y gellir gwella polisïau a dulliau o weithio mewn partneriaeth </w:t>
            </w:r>
          </w:p>
          <w:p w:rsidR="003040D6" w:rsidRPr="00152B46" w:rsidRDefault="003040D6" w:rsidP="00346372">
            <w:pPr>
              <w:tabs>
                <w:tab w:val="left" w:pos="567"/>
                <w:tab w:val="left" w:pos="60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601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3040D6" w:rsidRPr="00152B46" w:rsidRDefault="003040D6" w:rsidP="00346372">
      <w:pPr>
        <w:spacing w:line="360" w:lineRule="auto"/>
      </w:pPr>
      <w:r w:rsidRPr="00152B46"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3040D6" w:rsidRPr="00152B46" w:rsidRDefault="003040D6" w:rsidP="00346372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3040D6" w:rsidRPr="00152B46" w:rsidRDefault="003040D6" w:rsidP="00346372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Yn benodol i’r </w:t>
            </w:r>
            <w:r w:rsidR="00F03950">
              <w:rPr>
                <w:rFonts w:cs="Arial"/>
                <w:b/>
              </w:rPr>
              <w:t>SGC</w:t>
            </w:r>
            <w:r w:rsidRPr="00152B46">
              <w:rPr>
                <w:rFonts w:cs="Arial"/>
                <w:b/>
              </w:rPr>
              <w:t xml:space="preserve"> hon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Default="003040D6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E6CFD" w:rsidRDefault="003E6CFD" w:rsidP="00346372">
            <w:pPr>
              <w:spacing w:line="360" w:lineRule="auto"/>
            </w:pPr>
          </w:p>
          <w:p w:rsidR="003E6CFD" w:rsidRDefault="003E6CFD" w:rsidP="00346372">
            <w:pPr>
              <w:spacing w:line="360" w:lineRule="auto"/>
            </w:pPr>
          </w:p>
          <w:p w:rsidR="003E6CFD" w:rsidRDefault="003E6CFD" w:rsidP="00346372">
            <w:pPr>
              <w:spacing w:line="360" w:lineRule="auto"/>
            </w:pPr>
          </w:p>
          <w:p w:rsidR="003E6CFD" w:rsidRDefault="003E6CFD" w:rsidP="00346372">
            <w:pPr>
              <w:spacing w:line="360" w:lineRule="auto"/>
            </w:pPr>
          </w:p>
          <w:p w:rsidR="003E6CFD" w:rsidRDefault="003E6CFD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Pr="00152B46" w:rsidRDefault="00346372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Default="003040D6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Pr="00152B46" w:rsidRDefault="00346372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Default="003040D6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Pr="00152B46" w:rsidRDefault="00346372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Default="003040D6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Default="00346372" w:rsidP="00346372">
            <w:pPr>
              <w:spacing w:line="360" w:lineRule="auto"/>
            </w:pPr>
          </w:p>
          <w:p w:rsidR="00346372" w:rsidRPr="00152B46" w:rsidRDefault="00346372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152B4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</w:pPr>
          </w:p>
        </w:tc>
        <w:tc>
          <w:tcPr>
            <w:tcW w:w="8080" w:type="dxa"/>
          </w:tcPr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lastRenderedPageBreak/>
              <w:t>damcaniaethau, ymchwil a’r farn gyfredol am waith tîm a rhwydweithio effeithiol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lang w:val="en-US"/>
              </w:rPr>
              <w:t>y math o gyfleoedd sy’n bodoli i greu a datblygu cyfleoedd rhwydweithio, a sut i wneud y defnydd gorau ohonynt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pam mae’n bwysig cynnal perthnasoedd gweithio effeithiol 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position w:val="5"/>
              </w:rPr>
            </w:pPr>
            <w:r w:rsidRPr="00152B46">
              <w:rPr>
                <w:rFonts w:ascii="Arial" w:hAnsi="Arial" w:cs="Arial"/>
              </w:rPr>
              <w:t>pam mae’n bwysig datblygu ewyllys da ac ymddiriedaeth, a sut i wneud hynny’n effeithiol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pam mae’n bwysig trosglwyddo gwybodaeth yn brydlon ac yn gywir</w:t>
            </w:r>
          </w:p>
          <w:p w:rsidR="003040D6" w:rsidRPr="00152B46" w:rsidRDefault="003040D6" w:rsidP="00346372">
            <w:pPr>
              <w:spacing w:line="360" w:lineRule="auto"/>
              <w:ind w:left="357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  <w:ind w:left="357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>Hawliau</w:t>
            </w:r>
          </w:p>
          <w:p w:rsidR="003040D6" w:rsidRPr="00152B46" w:rsidRDefault="003040D6" w:rsidP="00346372">
            <w:pPr>
              <w:spacing w:line="360" w:lineRule="auto"/>
              <w:ind w:left="357"/>
              <w:rPr>
                <w:rFonts w:cs="Arial"/>
              </w:rPr>
            </w:pP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gofynion cyfreithiol a gofynion y lleoliad gwaith o ran cwynion a chwythu’r chwiban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eich rôl chi a rolau pobl eraill o ran hybu comisiynu </w:t>
            </w:r>
            <w:r w:rsidRPr="00152B46">
              <w:rPr>
                <w:rFonts w:cs="Arial"/>
                <w:b/>
              </w:rPr>
              <w:t>cydgynhyrchiol</w:t>
            </w:r>
            <w:r w:rsidRPr="00152B46">
              <w:rPr>
                <w:rFonts w:cs="Arial"/>
              </w:rPr>
              <w:t xml:space="preserve"> 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152B46">
              <w:rPr>
                <w:rFonts w:ascii="Arial" w:hAnsi="Arial" w:cs="Arial"/>
                <w:b/>
              </w:rPr>
              <w:t>unigolion</w:t>
            </w:r>
            <w:r w:rsidRPr="00152B46">
              <w:rPr>
                <w:rFonts w:ascii="Arial" w:hAnsi="Arial" w:cs="Arial"/>
              </w:rPr>
              <w:t xml:space="preserve">, </w:t>
            </w:r>
            <w:r w:rsidRPr="00152B46">
              <w:rPr>
                <w:rFonts w:ascii="Arial" w:hAnsi="Arial" w:cs="Arial"/>
                <w:b/>
              </w:rPr>
              <w:t xml:space="preserve">pobl allweddol </w:t>
            </w:r>
            <w:r w:rsidRPr="00152B46">
              <w:rPr>
                <w:rFonts w:ascii="Arial" w:hAnsi="Arial" w:cs="Arial"/>
              </w:rPr>
              <w:t xml:space="preserve">a chymunedau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ymdrin â gwahaniaethu a’i herio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 a phobl allweddol 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 Diogelu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lastRenderedPageBreak/>
              <w:t>ffactorau sy’n cynyddu’r risg o niwed neu gamdriniaeth bosibl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y gwahanol fathau o niwed neu gamdriniaeth, arferion gwael neu arferion gwahaniaethol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dangosyddion niwed neu gamdriniaeth bosibl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a phryd i roi gwybod am unrhyw bryderon ynghylch niwed neu gamdriniaeth, gan gynnwys chwythu’r chwiban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3040D6" w:rsidRPr="00152B46" w:rsidRDefault="003040D6" w:rsidP="00346372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152B46">
              <w:rPr>
                <w:b/>
                <w:sz w:val="22"/>
                <w:szCs w:val="22"/>
              </w:rPr>
              <w:t xml:space="preserve">     Cynaladwyedd</w:t>
            </w:r>
          </w:p>
          <w:p w:rsidR="003040D6" w:rsidRPr="00152B46" w:rsidRDefault="003040D6" w:rsidP="00346372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t xml:space="preserve">pam mae’n bwysig gweithio mewn ffordd </w:t>
            </w:r>
            <w:r w:rsidRPr="00152B46">
              <w:rPr>
                <w:rFonts w:ascii="Arial" w:hAnsi="Arial" w:cs="Arial"/>
                <w:b/>
              </w:rPr>
              <w:t>wleidyddol, economaidd, cymdeithasegol, technolegol, cyfreithiol ac amgylcheddol gynaliadwy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t>sut y gallwch ddatblygu syniadau newydd cynaladwy yn eich rôl</w:t>
            </w:r>
          </w:p>
          <w:p w:rsidR="003040D6" w:rsidRPr="00152B46" w:rsidRDefault="003040D6" w:rsidP="00346372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152B46">
              <w:rPr>
                <w:rFonts w:cs="Arial"/>
              </w:rPr>
              <w:t xml:space="preserve">     Gweithio mewn partneriaeth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60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y ffactorau sy’n gallu effeithio ar weithio mewn partneriaeth 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technegau ar gyfer gweithio gydag unigolion, pobl allweddol a chymunedau trwy gomisiynu, caffael a chontractio cydgynhyrchiol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gefnogi budd pennaf unigolion, pobl allweddol a chymunedau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  <w:u w:val="single"/>
              </w:rPr>
            </w:pPr>
            <w:r w:rsidRPr="00152B46">
              <w:rPr>
                <w:rFonts w:cs="Arial"/>
                <w:b/>
              </w:rPr>
              <w:t>blaenoriaethau, buddiannau</w:t>
            </w:r>
            <w:r w:rsidRPr="00152B46">
              <w:rPr>
                <w:rFonts w:cs="Arial"/>
              </w:rPr>
              <w:t xml:space="preserve"> a chyfraniadau </w:t>
            </w:r>
            <w:r w:rsidRPr="00152B46">
              <w:rPr>
                <w:rFonts w:cs="Arial"/>
                <w:b/>
              </w:rPr>
              <w:t xml:space="preserve">rhanddeiliaid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b/>
              </w:rPr>
              <w:t>realiti gweithredol</w:t>
            </w:r>
            <w:r w:rsidRPr="00152B46">
              <w:rPr>
                <w:rFonts w:cs="Arial"/>
              </w:rPr>
              <w:t xml:space="preserve"> darparwyr gwasanaeth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polisïau, gweithdrefnau, canllawiau a phrotocolau gyda phobl eraill sy’n ymwneud â phartneriaethau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asesu effeithiolrwydd gweithio mewn partneriaeth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152B46">
              <w:rPr>
                <w:b/>
                <w:sz w:val="22"/>
                <w:szCs w:val="22"/>
              </w:rPr>
              <w:t xml:space="preserve">     Rheoli risg</w:t>
            </w:r>
          </w:p>
          <w:p w:rsidR="003040D6" w:rsidRPr="00152B46" w:rsidRDefault="003040D6" w:rsidP="0034637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y math o risgiau sy’n gysylltiedig â chomisiynu, caffael a chontractio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dulliau o nodi, asesu a rheoli risg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eich rôl chi o ran nodi, rheoli a rhoi gwybod am risg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lastRenderedPageBreak/>
              <w:t>egwyddorion cymryd risgiau cadarnhaol</w:t>
            </w:r>
            <w:r w:rsidRPr="00152B46">
              <w:rPr>
                <w:rFonts w:cs="Arial"/>
                <w:b/>
              </w:rPr>
              <w:t xml:space="preserve"> 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Eich ymarfer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gael gwybod am weithdrefnau a ffyrdd cytûn o weithio, a gweithio yn unol â hwy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gwersi a ddysgwyd o adroddiadau, gwaith ymchwil ac ymchwiliadau’r llywodraeth ynghylch methiannau difrifol o ran ymarfer iechyd neu ofal cymdeithasol, ac o ymyraethau llwyddiannus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mae eich rôl yn cyfrannu at waith eich sefydliad a ble y gallwch fynd am gymorth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asesu effaith gweithgareddau comisiynu, caffael a chontractio ar unigolion, pobl allweddol a rhanddeiliaid eraill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fesur cyflawni </w:t>
            </w:r>
            <w:r w:rsidRPr="00152B46">
              <w:rPr>
                <w:rFonts w:cs="Arial"/>
                <w:b/>
              </w:rPr>
              <w:t>canlyniadau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natur a phwysigrwydd darpariaeth ataliol a chymunedol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ffactorau sy’n gallu achosi gofynion sy’n gwrthdaro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technegau ar gyfer datrys problemau a meddwl yn arloesol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gyflawni eich rôl o ran rheoli adnoddau, gan gynnwys rheoli eich amser eich hun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brisio a gweithio o fewn cyllidebau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a phryd i geisio cymorth gyda chyfyng-gyngor a gwrthdaro moesegol yn eich gwaith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eich cefndir, profiadau a chredoau eich hun a allai gael effaith ar eich ymarfer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ddefnyddio </w:t>
            </w:r>
            <w:r w:rsidRPr="00152B46">
              <w:rPr>
                <w:rFonts w:cs="Arial"/>
                <w:b/>
              </w:rPr>
              <w:t>ymarfer seiliedig ar dystiolaeth</w:t>
            </w:r>
            <w:r w:rsidRPr="00152B46">
              <w:rPr>
                <w:rFonts w:cs="Arial"/>
              </w:rPr>
              <w:t xml:space="preserve"> i gyfiawnhau eich gweithredoedd a’ch penderfyniadau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gyfrannu at ddatblygu systemau, arferion, polisïau a gweithdrefnau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herio ymarfer gwael yn eich sefydliad eich hun a sefydliadau </w:t>
            </w:r>
            <w:r w:rsidRPr="00152B46">
              <w:rPr>
                <w:rFonts w:cs="Arial"/>
              </w:rPr>
              <w:lastRenderedPageBreak/>
              <w:t>eraill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Damcaniaeth ar gyfer ymarfer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mae’r modelau </w:t>
            </w:r>
            <w:r w:rsidRPr="00152B46">
              <w:rPr>
                <w:rFonts w:cs="Arial"/>
                <w:b/>
              </w:rPr>
              <w:t>cymdeithasol, meddygol a busnes</w:t>
            </w:r>
            <w:r w:rsidRPr="00152B46">
              <w:rPr>
                <w:rFonts w:cs="Arial"/>
              </w:rPr>
              <w:t xml:space="preserve"> yn effeithio ar gyflawni canlyniadau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t>sut mae comisiynu, caffael a chontractio yn gallu cyfrannu at well canlyniadau i unigolion, pobl allweddol a chymunedau</w:t>
            </w:r>
          </w:p>
          <w:p w:rsidR="003040D6" w:rsidRPr="00152B46" w:rsidRDefault="003040D6" w:rsidP="00346372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Datblygiad personol a phroffesiynol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egwyddorion ymarfer myfyriol sy’n canolbwyntio ar yr unigolyn ac wedi’i seilio ar dystiolaeth</w:t>
            </w: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>eich rôl chi o ran rhannu a datblygu gwybodaeth ac ymarfer gyda phobl eraill, gan gynnwys pobl allweddol a chymunedau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lang w:eastAsia="en-GB"/>
              </w:rPr>
              <w:t>sut i roi adborth adeiladol i bobl eraill</w:t>
            </w:r>
            <w:r w:rsidRPr="00152B46">
              <w:rPr>
                <w:rFonts w:cs="Arial"/>
              </w:rPr>
              <w:t xml:space="preserve"> 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nodi a chael mynediad at gyfleoedd ar gyfer datblygiad proffesiynol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ddatblygu gwybodaeth ac ymarfer proffesiynol trwy oruchwylio a gwerthuso myfyriol</w:t>
            </w:r>
          </w:p>
          <w:p w:rsidR="003040D6" w:rsidRPr="00152B46" w:rsidRDefault="003040D6" w:rsidP="00346372">
            <w:pPr>
              <w:pStyle w:val="NOSNumberList"/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Cyfathrebu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sut i ddefnyddio cyfathrebu fel sail ar gyfer comisiynu cydgynhyrchiol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  <w:b/>
                <w:bCs/>
              </w:rPr>
            </w:pPr>
            <w:r w:rsidRPr="00152B46">
              <w:rPr>
                <w:rFonts w:cs="Arial"/>
              </w:rPr>
              <w:t xml:space="preserve">dulliau o hybu cyfathrebu effeithiol â </w:t>
            </w:r>
            <w:r w:rsidRPr="00152B46">
              <w:rPr>
                <w:rFonts w:cs="Arial"/>
                <w:b/>
              </w:rPr>
              <w:t>chydweithwyr</w:t>
            </w:r>
            <w:r w:rsidRPr="00152B46">
              <w:rPr>
                <w:rFonts w:cs="Arial"/>
              </w:rPr>
              <w:t>, unigolion a rhanddeiliaid eraill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152B46">
              <w:rPr>
                <w:rFonts w:cs="Arial"/>
                <w:b/>
                <w:bCs/>
              </w:rPr>
              <w:t xml:space="preserve">     Delio â gwybodaeth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t>sut i nodi, casglu, mesur ac asesu data a’i gyflwyno fel gwybodaeth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152B46">
              <w:rPr>
                <w:rFonts w:ascii="Arial" w:hAnsi="Arial" w:cs="Arial"/>
              </w:rPr>
              <w:lastRenderedPageBreak/>
              <w:t>sut mae cynhyrchion meddalwedd gwybodaeth yn gallu eich helpu i gasglu gwybodaeth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sut i gofnodi gwybodaeth ysgrifenedig yn gywir ac yn eglur, gyda pherthnasedd a lefel briodol o fanylion </w:t>
            </w:r>
          </w:p>
          <w:p w:rsidR="003040D6" w:rsidRPr="00152B46" w:rsidRDefault="003040D6" w:rsidP="0034637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152B46">
              <w:rPr>
                <w:rFonts w:ascii="Arial" w:hAnsi="Arial" w:cs="Arial"/>
              </w:rPr>
              <w:t xml:space="preserve">dulliau o sicrhau bod data a gwybodaeth </w:t>
            </w:r>
            <w:r w:rsidR="000E7238">
              <w:rPr>
                <w:rFonts w:ascii="Arial" w:hAnsi="Arial" w:cs="Arial"/>
              </w:rPr>
              <w:t>yn hygyrch</w:t>
            </w:r>
            <w:r w:rsidRPr="00152B46">
              <w:rPr>
                <w:rFonts w:ascii="Arial" w:hAnsi="Arial" w:cs="Arial"/>
              </w:rPr>
              <w:t xml:space="preserve"> i unigolion, pobl allweddol a rhanddeiliaid eraill</w:t>
            </w:r>
          </w:p>
          <w:p w:rsidR="003040D6" w:rsidRPr="00152B46" w:rsidRDefault="003040D6" w:rsidP="00346372">
            <w:pPr>
              <w:pStyle w:val="NOSNumberList"/>
              <w:numPr>
                <w:ilvl w:val="0"/>
                <w:numId w:val="18"/>
              </w:numPr>
              <w:spacing w:line="360" w:lineRule="auto"/>
              <w:rPr>
                <w:rFonts w:cs="Arial"/>
                <w:b/>
              </w:rPr>
            </w:pPr>
            <w:r w:rsidRPr="00152B46">
              <w:rPr>
                <w:rFonts w:cs="Arial"/>
              </w:rPr>
              <w:t xml:space="preserve">sut a ble y gellir ac y dylid defnyddio dulliau cyfathrebu electronig 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666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152B46">
              <w:rPr>
                <w:rFonts w:cs="Arial"/>
                <w:b/>
              </w:rPr>
              <w:t xml:space="preserve">     Iechyd a Diogelwch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pStyle w:val="Default"/>
              <w:spacing w:line="360" w:lineRule="auto"/>
              <w:ind w:left="994" w:hanging="637"/>
              <w:rPr>
                <w:b/>
                <w:sz w:val="22"/>
                <w:szCs w:val="22"/>
              </w:rPr>
            </w:pPr>
            <w:r w:rsidRPr="00152B46">
              <w:rPr>
                <w:sz w:val="22"/>
                <w:szCs w:val="22"/>
              </w:rPr>
              <w:t>K66     gofynion cyfreithiol a gofynion y lleoliad gwaith o ran iechyd a  diogelwch yn yr amgylchedd gweithio</w:t>
            </w:r>
          </w:p>
          <w:p w:rsidR="003040D6" w:rsidRPr="00152B46" w:rsidRDefault="003040D6" w:rsidP="00346372">
            <w:pPr>
              <w:pStyle w:val="NOSNumberList"/>
              <w:spacing w:line="360" w:lineRule="auto"/>
              <w:ind w:left="357"/>
              <w:rPr>
                <w:b/>
              </w:rPr>
            </w:pPr>
          </w:p>
        </w:tc>
      </w:tr>
    </w:tbl>
    <w:p w:rsidR="003040D6" w:rsidRPr="00152B46" w:rsidRDefault="003040D6" w:rsidP="00346372">
      <w:pPr>
        <w:spacing w:line="360" w:lineRule="auto"/>
        <w:sectPr w:rsidR="003040D6" w:rsidRPr="00152B46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3040D6" w:rsidRPr="00152B46" w:rsidTr="0048703A">
        <w:tc>
          <w:tcPr>
            <w:tcW w:w="10490" w:type="dxa"/>
            <w:gridSpan w:val="2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152B46">
              <w:rPr>
                <w:sz w:val="22"/>
                <w:szCs w:val="22"/>
              </w:rPr>
              <w:lastRenderedPageBreak/>
              <w:t xml:space="preserve">Gwybodaeth ychwanegol </w:t>
            </w: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3040D6" w:rsidRPr="00152B46" w:rsidRDefault="003040D6" w:rsidP="00346372">
            <w:pPr>
              <w:spacing w:line="360" w:lineRule="auto"/>
            </w:pPr>
          </w:p>
        </w:tc>
        <w:tc>
          <w:tcPr>
            <w:tcW w:w="8221" w:type="dxa"/>
          </w:tcPr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t xml:space="preserve">Mae’r manylion yn y maes hwn yn ddatganiadau esboniadol o’r cwmpas a/neu yn enghreifftiau o gyd-destunau posibl lle y gallai’r </w:t>
            </w:r>
            <w:r w:rsidR="000E7238">
              <w:t>SGC</w:t>
            </w:r>
            <w:r w:rsidRPr="00152B46">
              <w:t xml:space="preserve"> fod yn gymwys; ni ddylid eu hystyried yn ddatganiadau ystod sy’n ofynnol i gyflawni’r </w:t>
            </w:r>
            <w:r w:rsidR="000E7238">
              <w:t>SGC</w:t>
            </w:r>
            <w:r w:rsidRPr="00152B46">
              <w:rPr>
                <w:rFonts w:cs="Arial"/>
                <w:lang w:eastAsia="en-GB"/>
              </w:rPr>
              <w:t>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Yr </w:t>
            </w:r>
            <w:r w:rsidRPr="00152B46">
              <w:rPr>
                <w:rFonts w:cs="Arial"/>
                <w:b/>
                <w:lang w:eastAsia="en-GB"/>
              </w:rPr>
              <w:t>unigolyn</w:t>
            </w:r>
            <w:r w:rsidRPr="00152B46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040D6" w:rsidRPr="00152B46" w:rsidRDefault="003040D6" w:rsidP="00346372">
            <w:pPr>
              <w:spacing w:line="360" w:lineRule="auto"/>
              <w:rPr>
                <w:lang w:eastAsia="en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b/>
              </w:rPr>
              <w:t>Pobl allweddol</w:t>
            </w:r>
            <w:r w:rsidRPr="00152B46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0E7238">
              <w:rPr>
                <w:rFonts w:cs="Arial"/>
              </w:rPr>
              <w:t>cynhalwyr</w:t>
            </w:r>
            <w:r w:rsidRPr="00152B46">
              <w:rPr>
                <w:rFonts w:cs="Arial"/>
              </w:rPr>
              <w:t xml:space="preserve"> a phobl eraill y mae gan yr unigolyn berthynas gefnogol â nhw.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Mae </w:t>
            </w:r>
            <w:r w:rsidRPr="00152B46">
              <w:rPr>
                <w:rFonts w:cs="Arial"/>
                <w:b/>
              </w:rPr>
              <w:t>rhanddeiliaid</w:t>
            </w:r>
            <w:r w:rsidRPr="00152B46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gytundebau ar y cyd ai peidio.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Mae </w:t>
            </w:r>
            <w:r w:rsidRPr="00152B46">
              <w:rPr>
                <w:rFonts w:cs="Arial"/>
                <w:b/>
                <w:lang w:eastAsia="en-GB"/>
              </w:rPr>
              <w:t>cysylltiad proffesiynol</w:t>
            </w:r>
            <w:r w:rsidRPr="00152B46">
              <w:rPr>
                <w:rFonts w:cs="Arial"/>
                <w:lang w:eastAsia="en-GB"/>
              </w:rPr>
              <w:t xml:space="preserve"> yn cynnwys cysylltiad ffurfiol ac anffurfiol â phobl sy’n ymwneud â’ch gwaith.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Mae bod yn </w:t>
            </w:r>
            <w:r w:rsidRPr="00152B46">
              <w:rPr>
                <w:rFonts w:cs="Arial"/>
                <w:b/>
                <w:lang w:eastAsia="en-GB"/>
              </w:rPr>
              <w:t>gynhwysol</w:t>
            </w:r>
            <w:r w:rsidRPr="00152B46">
              <w:rPr>
                <w:rFonts w:cs="Arial"/>
                <w:lang w:eastAsia="en-GB"/>
              </w:rPr>
              <w:t xml:space="preserve"> yn golygu cydnabod ystod anghenion unigolion, pobl </w:t>
            </w:r>
            <w:r w:rsidRPr="00152B46">
              <w:rPr>
                <w:rFonts w:cs="Arial"/>
                <w:lang w:eastAsia="en-GB"/>
              </w:rPr>
              <w:lastRenderedPageBreak/>
              <w:t>allweddol, cymunedau neu randdeiliaid eraill, darparu ar gyfer yr anghenion hynny a’u bodloni.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Gall </w:t>
            </w:r>
            <w:r w:rsidRPr="00152B46">
              <w:rPr>
                <w:rFonts w:cs="Arial"/>
                <w:b/>
              </w:rPr>
              <w:t>gwrthdaro buddiannau</w:t>
            </w:r>
            <w:r w:rsidRPr="00152B46">
              <w:rPr>
                <w:rFonts w:cs="Arial"/>
              </w:rPr>
              <w:t xml:space="preserve"> ddigwydd pan fydd pobl neu sefydliadau am gael pethau gwahanol o weithio gyda’i gilydd. Mae’n bwysig ystyried blaenoriaethau gwahanol bartneriaid a tharo cydbwysedd rhwng ymgysylltiad er mwyn datblygu comisiynu heb roi mantais annheg i randdeiliaid penodol</w:t>
            </w:r>
            <w:r w:rsidRPr="00152B46">
              <w:rPr>
                <w:rFonts w:cs="Arial"/>
                <w:shd w:val="clear" w:color="auto" w:fill="FFFFFF"/>
              </w:rPr>
              <w:t>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  <w:r w:rsidRPr="00152B46">
              <w:rPr>
                <w:rFonts w:cs="Arial"/>
                <w:bCs/>
                <w:color w:val="000000"/>
                <w:lang w:eastAsia="en-GB"/>
              </w:rPr>
              <w:t xml:space="preserve">Er mwyn i rywbeth fod yn </w:t>
            </w:r>
            <w:r w:rsidRPr="00152B46">
              <w:rPr>
                <w:rFonts w:cs="Arial"/>
                <w:b/>
                <w:bCs/>
                <w:color w:val="000000"/>
                <w:lang w:eastAsia="en-GB"/>
              </w:rPr>
              <w:t>hygyrch</w:t>
            </w:r>
            <w:r w:rsidRPr="00152B46">
              <w:rPr>
                <w:rFonts w:cs="Arial"/>
                <w:bCs/>
                <w:color w:val="000000"/>
                <w:lang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Gall </w:t>
            </w:r>
            <w:r w:rsidRPr="00152B46">
              <w:rPr>
                <w:rFonts w:cs="Arial"/>
                <w:b/>
                <w:lang w:eastAsia="en-GB"/>
              </w:rPr>
              <w:t xml:space="preserve">cytundeb </w:t>
            </w:r>
            <w:r w:rsidRPr="00152B46">
              <w:rPr>
                <w:rFonts w:cs="Arial"/>
                <w:lang w:eastAsia="en-GB"/>
              </w:rPr>
              <w:t>fod yn ffurfiol neu’n anffurfiol.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</w:rPr>
              <w:t xml:space="preserve">Gall materion gael eu </w:t>
            </w:r>
            <w:r w:rsidRPr="00152B46">
              <w:rPr>
                <w:rFonts w:cs="Arial"/>
                <w:b/>
              </w:rPr>
              <w:t xml:space="preserve">datrys </w:t>
            </w:r>
            <w:r w:rsidRPr="00152B46">
              <w:rPr>
                <w:rFonts w:cs="Arial"/>
              </w:rPr>
              <w:t>trwy drafod a chytuno, ymyrraeth gan unigolyn priodol neu drwy sianeli mwy ffurfiol.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eastAsia="en-GB"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152B46">
              <w:rPr>
                <w:rFonts w:cs="Arial"/>
              </w:rPr>
              <w:t xml:space="preserve">Gall </w:t>
            </w:r>
            <w:r w:rsidRPr="00152B46">
              <w:rPr>
                <w:rFonts w:cs="Arial"/>
                <w:b/>
              </w:rPr>
              <w:t xml:space="preserve">pobl berthnasol </w:t>
            </w:r>
            <w:r w:rsidRPr="00152B46">
              <w:rPr>
                <w:rFonts w:cs="Arial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152B46">
              <w:rPr>
                <w:rFonts w:cs="Arial"/>
                <w:color w:val="000000"/>
                <w:lang w:eastAsia="en-GB"/>
              </w:rPr>
              <w:t xml:space="preserve">. 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</w:rPr>
            </w:pPr>
          </w:p>
          <w:p w:rsidR="003040D6" w:rsidRPr="00152B46" w:rsidRDefault="003040D6" w:rsidP="00346372">
            <w:pPr>
              <w:pStyle w:val="NOSBodyText"/>
              <w:spacing w:line="360" w:lineRule="auto"/>
            </w:pPr>
          </w:p>
        </w:tc>
      </w:tr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b w:val="0"/>
              </w:rPr>
            </w:pPr>
          </w:p>
        </w:tc>
        <w:tc>
          <w:tcPr>
            <w:tcW w:w="8221" w:type="dxa"/>
          </w:tcPr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</w:rPr>
            </w:pPr>
          </w:p>
          <w:p w:rsidR="003040D6" w:rsidRPr="00152B46" w:rsidRDefault="003040D6" w:rsidP="00346372">
            <w:pPr>
              <w:pStyle w:val="NOSBodyText"/>
              <w:spacing w:line="360" w:lineRule="auto"/>
            </w:pPr>
          </w:p>
        </w:tc>
      </w:tr>
    </w:tbl>
    <w:p w:rsidR="003040D6" w:rsidRPr="00152B46" w:rsidRDefault="003040D6" w:rsidP="00346372">
      <w:pPr>
        <w:spacing w:line="360" w:lineRule="auto"/>
      </w:pPr>
      <w:r w:rsidRPr="00152B46"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3040D6" w:rsidRPr="00152B46" w:rsidTr="0048703A">
        <w:tc>
          <w:tcPr>
            <w:tcW w:w="2269" w:type="dxa"/>
          </w:tcPr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040D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Default="00346372" w:rsidP="00346372"/>
          <w:p w:rsidR="00346372" w:rsidRPr="00346372" w:rsidRDefault="00346372" w:rsidP="00346372"/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3040D6" w:rsidRPr="00152B46" w:rsidRDefault="003040D6" w:rsidP="0034637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152B46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3040D6" w:rsidRPr="00152B46" w:rsidRDefault="003040D6" w:rsidP="00346372">
            <w:pPr>
              <w:spacing w:line="360" w:lineRule="auto"/>
            </w:pPr>
            <w:r w:rsidRPr="00152B46">
              <w:lastRenderedPageBreak/>
              <w:t xml:space="preserve">Mae’r manylion yn y maes hwn yn ddatganiadau esboniadol o’r cwmpas a/neu yn enghreifftiau o gyd-destunau posibl lle y gallai’r </w:t>
            </w:r>
            <w:r w:rsidR="000E7238">
              <w:t>SGC</w:t>
            </w:r>
            <w:r w:rsidRPr="00152B46">
              <w:t xml:space="preserve"> fod yn gymwys; ni ddylid eu hystyried yn ddatganiadau ystod sy’n ofynnol i gyflawni’r </w:t>
            </w:r>
            <w:r w:rsidR="000E7238">
              <w:t>SGC</w:t>
            </w:r>
            <w:r w:rsidRPr="00152B46">
              <w:t>.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  <w:rPr>
                <w:b/>
              </w:rPr>
            </w:pPr>
            <w:r w:rsidRPr="00152B46">
              <w:rPr>
                <w:b/>
              </w:rPr>
              <w:t>Mae’n rhaid cymhwyso pob datganiad am wybodaeth yng nghyd-destun y safon hon.</w:t>
            </w:r>
          </w:p>
          <w:p w:rsidR="003040D6" w:rsidRPr="00152B46" w:rsidRDefault="003040D6" w:rsidP="00346372">
            <w:pPr>
              <w:spacing w:line="360" w:lineRule="auto"/>
              <w:rPr>
                <w:b/>
                <w:lang w:val="cy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lang w:eastAsia="en-GB"/>
              </w:rPr>
            </w:pPr>
            <w:r w:rsidRPr="00152B46">
              <w:rPr>
                <w:rFonts w:cs="Arial"/>
                <w:lang w:val="cy-GB" w:eastAsia="en-GB"/>
              </w:rPr>
              <w:t xml:space="preserve">Mae’r broses </w:t>
            </w:r>
            <w:r w:rsidRPr="00152B46">
              <w:rPr>
                <w:rFonts w:cs="Arial"/>
                <w:b/>
                <w:lang w:val="cy-GB" w:eastAsia="en-GB"/>
              </w:rPr>
              <w:t>cydgynhyrchu</w:t>
            </w:r>
            <w:r w:rsidRPr="00152B46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152B46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3040D6" w:rsidRPr="00152B46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lang w:eastAsia="en-GB"/>
              </w:rPr>
              <w:t xml:space="preserve">Yr </w:t>
            </w:r>
            <w:r w:rsidRPr="00152B46">
              <w:rPr>
                <w:rFonts w:cs="Arial"/>
                <w:b/>
                <w:lang w:eastAsia="en-GB"/>
              </w:rPr>
              <w:t>unigolyn</w:t>
            </w:r>
            <w:r w:rsidRPr="00152B46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3040D6" w:rsidRPr="00152B46" w:rsidRDefault="003040D6" w:rsidP="00346372">
            <w:pPr>
              <w:spacing w:line="360" w:lineRule="auto"/>
              <w:rPr>
                <w:lang w:eastAsia="en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b/>
              </w:rPr>
              <w:t>Pobl allweddol</w:t>
            </w:r>
            <w:r w:rsidRPr="00152B46">
              <w:rPr>
                <w:rFonts w:cs="Arial"/>
              </w:rPr>
              <w:t xml:space="preserve"> yw’r rhai hynny sy’n bwysig i unigolyn ac sy’n gallu gwneud gwahaniaeth i’w les. Gall pobl allweddol gynnwys teulu, ffrindiau, </w:t>
            </w:r>
            <w:r w:rsidR="000E7238">
              <w:rPr>
                <w:rFonts w:cs="Arial"/>
              </w:rPr>
              <w:t>cynhalwyr</w:t>
            </w:r>
            <w:r w:rsidRPr="00152B46">
              <w:rPr>
                <w:rFonts w:cs="Arial"/>
              </w:rPr>
              <w:t xml:space="preserve"> a phobl eraill y mae gan yr unigolyn berthynas gefnogol â hwy.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Defnyddir y model </w:t>
            </w:r>
            <w:r w:rsidRPr="00152B46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152B46">
              <w:rPr>
                <w:rFonts w:cs="Arial"/>
              </w:rPr>
              <w:t>(</w:t>
            </w:r>
            <w:proofErr w:type="gramStart"/>
            <w:r w:rsidRPr="00152B46">
              <w:rPr>
                <w:rFonts w:cs="Arial"/>
              </w:rPr>
              <w:t>a</w:t>
            </w:r>
            <w:proofErr w:type="gramEnd"/>
            <w:r w:rsidRPr="00152B46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3040D6" w:rsidRPr="00152B46" w:rsidRDefault="003040D6" w:rsidP="00346372">
            <w:pPr>
              <w:spacing w:line="360" w:lineRule="auto"/>
              <w:ind w:left="97"/>
              <w:rPr>
                <w:rFonts w:cs="Arial"/>
                <w:lang w:eastAsia="en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Mae </w:t>
            </w:r>
            <w:r w:rsidRPr="00152B46">
              <w:rPr>
                <w:rFonts w:cs="Arial"/>
                <w:b/>
              </w:rPr>
              <w:t xml:space="preserve">blaenoriaethau a buddiannau </w:t>
            </w:r>
            <w:r w:rsidRPr="00152B46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3040D6" w:rsidRPr="00152B46" w:rsidRDefault="003040D6" w:rsidP="0034637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Mae </w:t>
            </w:r>
            <w:r w:rsidRPr="00152B46">
              <w:rPr>
                <w:rFonts w:cs="Arial"/>
                <w:b/>
              </w:rPr>
              <w:t>rhanddeiliaid</w:t>
            </w:r>
            <w:r w:rsidRPr="00152B46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</w:t>
            </w:r>
            <w:r w:rsidRPr="00152B46">
              <w:rPr>
                <w:rFonts w:cs="Arial"/>
              </w:rPr>
              <w:lastRenderedPageBreak/>
              <w:t>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b/>
              </w:rPr>
              <w:t>Realiti gweithredol</w:t>
            </w:r>
            <w:r w:rsidRPr="00152B46">
              <w:rPr>
                <w:rFonts w:cs="Arial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Defnyddir y term </w:t>
            </w:r>
            <w:r w:rsidRPr="00152B46">
              <w:rPr>
                <w:rFonts w:cs="Arial"/>
                <w:b/>
              </w:rPr>
              <w:t>sefydliad</w:t>
            </w:r>
            <w:r w:rsidRPr="00152B46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3040D6" w:rsidRPr="00152B46" w:rsidRDefault="003040D6" w:rsidP="00346372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  <w:lang w:eastAsia="en-GB"/>
              </w:rPr>
            </w:pPr>
            <w:r w:rsidRPr="00152B46">
              <w:rPr>
                <w:rFonts w:cs="Arial"/>
                <w:b/>
                <w:lang w:eastAsia="en-GB"/>
              </w:rPr>
              <w:t xml:space="preserve">Canlyniadau </w:t>
            </w:r>
            <w:r w:rsidRPr="00152B46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3040D6" w:rsidRPr="00152B46" w:rsidRDefault="003040D6" w:rsidP="00346372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Mae </w:t>
            </w:r>
            <w:r w:rsidRPr="00152B46">
              <w:rPr>
                <w:rFonts w:cs="Arial"/>
                <w:b/>
              </w:rPr>
              <w:t>ymarfer seiliedig ar dystiolaeth</w:t>
            </w:r>
            <w:r w:rsidRPr="00152B46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 xml:space="preserve">Mae’r </w:t>
            </w:r>
            <w:r w:rsidRPr="00152B46">
              <w:rPr>
                <w:rFonts w:cs="Arial"/>
                <w:b/>
              </w:rPr>
              <w:t xml:space="preserve">model cymdeithasol </w:t>
            </w:r>
            <w:r w:rsidRPr="00152B46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0E7238">
              <w:rPr>
                <w:rFonts w:cs="Arial"/>
              </w:rPr>
              <w:t>Mae’r</w:t>
            </w:r>
            <w:r w:rsidRPr="00152B46">
              <w:rPr>
                <w:rFonts w:cs="Arial"/>
              </w:rPr>
              <w:t xml:space="preserve"> </w:t>
            </w:r>
            <w:r w:rsidRPr="00152B46">
              <w:rPr>
                <w:rFonts w:cs="Arial"/>
                <w:b/>
              </w:rPr>
              <w:t>model meddygol</w:t>
            </w:r>
            <w:r w:rsidRPr="00152B46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152B46">
              <w:rPr>
                <w:rFonts w:cs="Arial"/>
                <w:b/>
              </w:rPr>
              <w:t>modelau busnes</w:t>
            </w:r>
            <w:r w:rsidRPr="00152B46">
              <w:rPr>
                <w:rFonts w:cs="Arial"/>
              </w:rPr>
              <w:t xml:space="preserve"> yn cyfeirio at angen sefydliad i weithredu fel busnes o fewn cyfyngiadau ariannol ac, mewn rhai achosion, i </w:t>
            </w:r>
            <w:r w:rsidRPr="00152B46">
              <w:rPr>
                <w:rFonts w:cs="Arial"/>
              </w:rPr>
              <w:lastRenderedPageBreak/>
              <w:t xml:space="preserve">wneud elw, er enghraifft mentrau cymdeithasol a busnesau preifat. 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pStyle w:val="NOSBodyText"/>
              <w:spacing w:line="360" w:lineRule="auto"/>
              <w:rPr>
                <w:rFonts w:eastAsia="SimSun" w:cs="Arial"/>
                <w:b/>
                <w:lang w:eastAsia="en-GB"/>
              </w:rPr>
            </w:pPr>
            <w:r w:rsidRPr="00152B46">
              <w:rPr>
                <w:rFonts w:eastAsia="SimSun" w:cs="Arial"/>
                <w:b/>
                <w:lang w:eastAsia="en-GB"/>
              </w:rPr>
              <w:t xml:space="preserve">Cydweithwyr </w:t>
            </w:r>
            <w:r w:rsidRPr="00152B46">
              <w:rPr>
                <w:rFonts w:eastAsia="SimSun"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152B46">
              <w:rPr>
                <w:rFonts w:eastAsia="SimSun" w:cs="Arial"/>
                <w:b/>
                <w:lang w:eastAsia="en-GB"/>
              </w:rPr>
              <w:t xml:space="preserve"> </w:t>
            </w:r>
          </w:p>
          <w:p w:rsidR="003040D6" w:rsidRDefault="003040D6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Default="00346372" w:rsidP="00346372">
            <w:pPr>
              <w:spacing w:line="360" w:lineRule="auto"/>
              <w:rPr>
                <w:lang w:val="cy-GB"/>
              </w:rPr>
            </w:pPr>
          </w:p>
          <w:p w:rsidR="00346372" w:rsidRPr="00152B46" w:rsidRDefault="00346372" w:rsidP="00346372">
            <w:pPr>
              <w:spacing w:line="360" w:lineRule="auto"/>
              <w:rPr>
                <w:lang w:val="cy-GB"/>
              </w:rPr>
            </w:pP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152B46">
              <w:rPr>
                <w:rFonts w:cs="Arial"/>
              </w:rPr>
              <w:t>: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eu trin fel unigolyn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eu trin yn gyfartal a pheidio ag wynebu gwahaniaethu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eu parchu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preifatrwydd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eu trin mewn ffordd urddasol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eu diogelu rhag perygl a niwed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gyfathrebu gan ddefnyddio eu dulliau cyfathrebu ac iaith ddewisol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  <w:r w:rsidRPr="00152B46">
              <w:rPr>
                <w:rFonts w:cs="Arial"/>
              </w:rPr>
              <w:t>I allu cael gafael ar wybodaeth amdanynt hwy eu hunain</w:t>
            </w:r>
          </w:p>
          <w:p w:rsidR="003040D6" w:rsidRPr="00152B46" w:rsidRDefault="003040D6" w:rsidP="00346372">
            <w:pPr>
              <w:spacing w:line="360" w:lineRule="auto"/>
              <w:rPr>
                <w:rFonts w:cs="Arial"/>
              </w:rPr>
            </w:pPr>
          </w:p>
          <w:p w:rsidR="003040D6" w:rsidRPr="00152B46" w:rsidRDefault="003040D6" w:rsidP="00346372">
            <w:pPr>
              <w:spacing w:line="360" w:lineRule="auto"/>
            </w:pPr>
            <w:r w:rsidRPr="00152B46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3040D6" w:rsidRPr="00152B46" w:rsidRDefault="003040D6" w:rsidP="00346372">
            <w:pPr>
              <w:spacing w:line="360" w:lineRule="auto"/>
            </w:pPr>
          </w:p>
          <w:p w:rsidR="003040D6" w:rsidRPr="00152B46" w:rsidRDefault="003040D6" w:rsidP="00346372">
            <w:pPr>
              <w:spacing w:line="360" w:lineRule="auto"/>
            </w:pPr>
            <w:r w:rsidRPr="00152B46">
              <w:t>Barchu gwerth ac urddas cynhenid pob unigolyn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Parchu hawliau dynol plant, pobl ifanc ac oedolion</w:t>
            </w:r>
          </w:p>
          <w:p w:rsidR="003040D6" w:rsidRPr="00152B46" w:rsidRDefault="003040D6" w:rsidP="00346372">
            <w:pPr>
              <w:spacing w:line="360" w:lineRule="auto"/>
              <w:rPr>
                <w:rFonts w:eastAsia="Times New Roman"/>
              </w:rPr>
            </w:pPr>
            <w:r w:rsidRPr="00152B46">
              <w:rPr>
                <w:rFonts w:eastAsia="Times New Roman"/>
              </w:rPr>
              <w:t>Parchu hawl pobl i gymryd risgiau cadarnhaol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yn dryloyw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yn atebol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yn gymesur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yn gyson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wedi’u targedu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Bod yn ddiduedd</w:t>
            </w:r>
          </w:p>
          <w:p w:rsidR="003040D6" w:rsidRPr="00152B46" w:rsidRDefault="003040D6" w:rsidP="00346372">
            <w:pPr>
              <w:spacing w:line="360" w:lineRule="auto"/>
            </w:pPr>
            <w:r w:rsidRPr="00152B46">
              <w:t>Galluogi darparwyr</w:t>
            </w:r>
          </w:p>
          <w:p w:rsidR="003040D6" w:rsidRPr="00152B46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3040D6" w:rsidRPr="00152B46" w:rsidRDefault="003040D6" w:rsidP="00346372">
      <w:pPr>
        <w:spacing w:line="360" w:lineRule="auto"/>
      </w:pPr>
      <w:r w:rsidRPr="00152B46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2047E4">
              <w:rPr>
                <w:rFonts w:cs="Arial"/>
                <w:sz w:val="22"/>
              </w:rPr>
              <w:lastRenderedPageBreak/>
              <w:br w:type="page"/>
            </w:r>
            <w:r w:rsidRPr="002047E4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0" w:name="StartDevelopedBy"/>
            <w:bookmarkEnd w:id="0"/>
            <w:r w:rsidRPr="002047E4">
              <w:rPr>
                <w:rFonts w:cs="Arial"/>
              </w:rPr>
              <w:t>Sgiliau Gofal a Datblygu</w:t>
            </w:r>
          </w:p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EndDevelopedBy"/>
            <w:bookmarkEnd w:id="1"/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2047E4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3040D6" w:rsidRPr="002047E4" w:rsidRDefault="001B4C4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StartVersion"/>
            <w:bookmarkStart w:id="3" w:name="EndVersion"/>
            <w:bookmarkEnd w:id="2"/>
            <w:bookmarkEnd w:id="3"/>
            <w:r w:rsidRPr="002047E4">
              <w:rPr>
                <w:rFonts w:cs="Arial"/>
              </w:rPr>
              <w:t>2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4" w:name="StartApproved"/>
            <w:bookmarkStart w:id="5" w:name="EndApproved"/>
            <w:bookmarkEnd w:id="4"/>
            <w:bookmarkEnd w:id="5"/>
            <w:r w:rsidRPr="002047E4">
              <w:rPr>
                <w:rFonts w:cs="Arial"/>
              </w:rPr>
              <w:t>Chwefror 2014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6" w:name="StartReview"/>
            <w:bookmarkStart w:id="7" w:name="EndReview"/>
            <w:bookmarkEnd w:id="6"/>
            <w:bookmarkEnd w:id="7"/>
            <w:r w:rsidRPr="002047E4">
              <w:rPr>
                <w:rFonts w:cs="Arial"/>
              </w:rPr>
              <w:t>Chwefror 2019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8" w:name="StartValidity"/>
            <w:bookmarkStart w:id="9" w:name="EndValidity"/>
            <w:bookmarkEnd w:id="8"/>
            <w:bookmarkEnd w:id="9"/>
            <w:r w:rsidRPr="002047E4">
              <w:rPr>
                <w:rFonts w:cs="Arial"/>
              </w:rPr>
              <w:t>Cyfredol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0" w:name="StartStatus"/>
            <w:bookmarkStart w:id="11" w:name="EndStatus"/>
            <w:bookmarkEnd w:id="10"/>
            <w:bookmarkEnd w:id="11"/>
            <w:r w:rsidRPr="002047E4">
              <w:rPr>
                <w:rFonts w:cs="Arial"/>
              </w:rPr>
              <w:t>Gwreiddiol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2" w:name="StartOrigin"/>
            <w:bookmarkStart w:id="13" w:name="EndOrigin"/>
            <w:bookmarkEnd w:id="12"/>
            <w:bookmarkEnd w:id="13"/>
            <w:r w:rsidRPr="002047E4">
              <w:rPr>
                <w:rFonts w:cs="Arial"/>
              </w:rPr>
              <w:t>Sgiliau Gofal a Datblygu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4" w:name="StartOriginURN"/>
            <w:bookmarkStart w:id="15" w:name="EndOriginURN"/>
            <w:bookmarkEnd w:id="14"/>
            <w:bookmarkEnd w:id="15"/>
            <w:r w:rsidRPr="002047E4">
              <w:rPr>
                <w:rFonts w:cs="Arial"/>
              </w:rPr>
              <w:t>CPC301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6" w:name="StartOccupations"/>
            <w:bookmarkStart w:id="17" w:name="EndOccupations"/>
            <w:bookmarkEnd w:id="16"/>
            <w:bookmarkEnd w:id="17"/>
            <w:r w:rsidRPr="002047E4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3040D6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18" w:name="StartSuite"/>
            <w:bookmarkStart w:id="19" w:name="EndSuite"/>
            <w:bookmarkEnd w:id="18"/>
            <w:bookmarkEnd w:id="19"/>
            <w:r w:rsidRPr="002047E4">
              <w:rPr>
                <w:rFonts w:cs="Arial"/>
              </w:rPr>
              <w:t>Comisiynu, Caffael a Chontractio ar gyfer Gwasanaethau Gofal</w:t>
            </w:r>
          </w:p>
          <w:p w:rsidR="00D96468" w:rsidRPr="002047E4" w:rsidRDefault="00D96468" w:rsidP="0034637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3040D6" w:rsidRPr="002047E4" w:rsidTr="007D638E">
        <w:tc>
          <w:tcPr>
            <w:tcW w:w="2387" w:type="dxa"/>
          </w:tcPr>
          <w:p w:rsidR="003040D6" w:rsidRPr="002047E4" w:rsidRDefault="003040D6" w:rsidP="00346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47E4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D96468" w:rsidRPr="002047E4" w:rsidRDefault="003040D6" w:rsidP="00346372">
            <w:pPr>
              <w:pStyle w:val="NOSBodyText"/>
              <w:spacing w:line="360" w:lineRule="auto"/>
              <w:rPr>
                <w:rFonts w:cs="Arial"/>
              </w:rPr>
            </w:pPr>
            <w:bookmarkStart w:id="20" w:name="StartKeywords"/>
            <w:bookmarkEnd w:id="20"/>
            <w:r w:rsidRPr="002047E4">
              <w:rPr>
                <w:rFonts w:cs="Arial"/>
              </w:rPr>
              <w:t>Ffurfio’r farchnad; cefnogi’r farchnad; datblygu’r farchnad; capasiti a gallu’r farchnad; gwasanaethau plant a phobl ifanc; iechyd a gofal cymdeithasol; gwasanaethau’r blynyddoedd cynnar</w:t>
            </w:r>
            <w:bookmarkStart w:id="21" w:name="EndKeywords"/>
            <w:bookmarkStart w:id="22" w:name="_GoBack"/>
            <w:bookmarkEnd w:id="21"/>
            <w:bookmarkEnd w:id="22"/>
          </w:p>
        </w:tc>
      </w:tr>
    </w:tbl>
    <w:p w:rsidR="003040D6" w:rsidRPr="002D59F8" w:rsidRDefault="003040D6" w:rsidP="00346372">
      <w:pPr>
        <w:spacing w:line="360" w:lineRule="auto"/>
      </w:pPr>
    </w:p>
    <w:sectPr w:rsidR="003040D6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0" w:rsidRDefault="00170780" w:rsidP="00521BFC">
      <w:r>
        <w:separator/>
      </w:r>
    </w:p>
  </w:endnote>
  <w:endnote w:type="continuationSeparator" w:id="0">
    <w:p w:rsidR="00170780" w:rsidRDefault="00170780" w:rsidP="00521BFC">
      <w:r>
        <w:continuationSeparator/>
      </w:r>
    </w:p>
  </w:endnote>
  <w:endnote w:type="continuationNotice" w:id="1">
    <w:p w:rsidR="00170780" w:rsidRDefault="00170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3040D6" w:rsidRPr="0048703A" w:rsidTr="0048703A">
      <w:trPr>
        <w:trHeight w:val="567"/>
      </w:trPr>
      <w:tc>
        <w:tcPr>
          <w:tcW w:w="9356" w:type="dxa"/>
        </w:tcPr>
        <w:p w:rsidR="00346372" w:rsidRDefault="003040D6" w:rsidP="00346372">
          <w:r w:rsidRPr="0048703A">
            <w:rPr>
              <w:rFonts w:ascii="Calibri" w:hAnsi="Calibri"/>
              <w:sz w:val="20"/>
              <w:szCs w:val="20"/>
            </w:rPr>
            <w:t xml:space="preserve">SCDCPC301 </w:t>
          </w:r>
          <w:r w:rsidR="00346372" w:rsidRPr="00346372">
            <w:rPr>
              <w:rFonts w:ascii="Calibri" w:hAnsi="Calibri"/>
              <w:sz w:val="20"/>
              <w:szCs w:val="20"/>
            </w:rPr>
            <w:t>Creu a chynnal perthnasoedd gweithio effeithiol â phobl eraill mewn Comisiynu, Caffael a Chontractio</w:t>
          </w:r>
        </w:p>
        <w:p w:rsidR="003040D6" w:rsidRPr="0048703A" w:rsidRDefault="003040D6" w:rsidP="00E256E8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3040D6" w:rsidRPr="0048703A" w:rsidRDefault="003040D6" w:rsidP="0048703A">
          <w:pPr>
            <w:jc w:val="right"/>
            <w:rPr>
              <w:rFonts w:ascii="Calibri" w:hAnsi="Calibri"/>
              <w:sz w:val="20"/>
              <w:szCs w:val="20"/>
            </w:rPr>
          </w:pPr>
          <w:r w:rsidRPr="0048703A">
            <w:rPr>
              <w:rFonts w:ascii="Calibri" w:hAnsi="Calibri"/>
              <w:sz w:val="20"/>
              <w:szCs w:val="20"/>
            </w:rPr>
            <w:fldChar w:fldCharType="begin"/>
          </w:r>
          <w:r w:rsidRPr="0048703A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48703A">
            <w:rPr>
              <w:rFonts w:ascii="Calibri" w:hAnsi="Calibri"/>
              <w:sz w:val="20"/>
              <w:szCs w:val="20"/>
            </w:rPr>
            <w:fldChar w:fldCharType="separate"/>
          </w:r>
          <w:r w:rsidR="00276D7E">
            <w:rPr>
              <w:rFonts w:ascii="Calibri" w:hAnsi="Calibri"/>
              <w:noProof/>
              <w:sz w:val="20"/>
              <w:szCs w:val="20"/>
            </w:rPr>
            <w:t>15</w:t>
          </w:r>
          <w:r w:rsidRPr="0048703A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040D6" w:rsidRPr="002D59F8" w:rsidRDefault="003040D6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0" w:rsidRDefault="00170780" w:rsidP="00521BFC">
      <w:r>
        <w:separator/>
      </w:r>
    </w:p>
  </w:footnote>
  <w:footnote w:type="continuationSeparator" w:id="0">
    <w:p w:rsidR="00170780" w:rsidRDefault="00170780" w:rsidP="00521BFC">
      <w:r>
        <w:continuationSeparator/>
      </w:r>
    </w:p>
  </w:footnote>
  <w:footnote w:type="continuationNotice" w:id="1">
    <w:p w:rsidR="00170780" w:rsidRDefault="00170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3040D6" w:rsidRPr="0048703A" w:rsidTr="0048703A">
      <w:trPr>
        <w:cantSplit/>
        <w:trHeight w:val="1065"/>
      </w:trPr>
      <w:tc>
        <w:tcPr>
          <w:tcW w:w="8222" w:type="dxa"/>
          <w:vAlign w:val="center"/>
        </w:tcPr>
        <w:p w:rsidR="003040D6" w:rsidRPr="0048703A" w:rsidRDefault="003040D6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48703A">
            <w:rPr>
              <w:rFonts w:ascii="Calibri" w:hAnsi="Calibri"/>
              <w:sz w:val="32"/>
              <w:szCs w:val="32"/>
            </w:rPr>
            <w:t>SCDCPC301</w:t>
          </w:r>
        </w:p>
        <w:p w:rsidR="003040D6" w:rsidRPr="0048703A" w:rsidRDefault="00346372" w:rsidP="00416FEB">
          <w:pPr>
            <w:pStyle w:val="Header"/>
          </w:pPr>
          <w:r w:rsidRPr="00346372">
            <w:rPr>
              <w:rFonts w:ascii="Calibri" w:hAnsi="Calibri"/>
              <w:sz w:val="32"/>
              <w:szCs w:val="32"/>
            </w:rPr>
            <w:t>Creu a chynnal perthnasoedd gweithio effeithiol â phobl eraill mewn Comisiynu, Caffael a Chontractio</w:t>
          </w:r>
        </w:p>
      </w:tc>
      <w:tc>
        <w:tcPr>
          <w:tcW w:w="2552" w:type="dxa"/>
        </w:tcPr>
        <w:p w:rsidR="003040D6" w:rsidRPr="0048703A" w:rsidRDefault="001B4C46" w:rsidP="0048703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BC7D4EE" wp14:editId="7C408B25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0D6" w:rsidRDefault="001B4C46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6FEBB" wp14:editId="1A07222E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81BC7CA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0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16"/>
  </w:num>
  <w:num w:numId="7">
    <w:abstractNumId w:val="15"/>
  </w:num>
  <w:num w:numId="8">
    <w:abstractNumId w:val="13"/>
  </w:num>
  <w:num w:numId="9">
    <w:abstractNumId w:val="11"/>
  </w:num>
  <w:num w:numId="10">
    <w:abstractNumId w:val="14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E7238"/>
    <w:rsid w:val="0010370F"/>
    <w:rsid w:val="0010479B"/>
    <w:rsid w:val="00115544"/>
    <w:rsid w:val="00152B46"/>
    <w:rsid w:val="0016238F"/>
    <w:rsid w:val="001634E2"/>
    <w:rsid w:val="00170780"/>
    <w:rsid w:val="00181052"/>
    <w:rsid w:val="00185673"/>
    <w:rsid w:val="00194432"/>
    <w:rsid w:val="001A306E"/>
    <w:rsid w:val="001B0BA6"/>
    <w:rsid w:val="001B1482"/>
    <w:rsid w:val="001B4C46"/>
    <w:rsid w:val="001D17C9"/>
    <w:rsid w:val="001D5001"/>
    <w:rsid w:val="001D75FC"/>
    <w:rsid w:val="001E75AC"/>
    <w:rsid w:val="001F55F5"/>
    <w:rsid w:val="001F66F5"/>
    <w:rsid w:val="00201BF6"/>
    <w:rsid w:val="002047E4"/>
    <w:rsid w:val="00210CE3"/>
    <w:rsid w:val="00212B2D"/>
    <w:rsid w:val="002143B8"/>
    <w:rsid w:val="00224BC7"/>
    <w:rsid w:val="00230FDA"/>
    <w:rsid w:val="00257BEC"/>
    <w:rsid w:val="00270B1B"/>
    <w:rsid w:val="00274856"/>
    <w:rsid w:val="00276D7E"/>
    <w:rsid w:val="002774F2"/>
    <w:rsid w:val="00283FF7"/>
    <w:rsid w:val="002A70B2"/>
    <w:rsid w:val="002B42E5"/>
    <w:rsid w:val="002C069C"/>
    <w:rsid w:val="002C10D9"/>
    <w:rsid w:val="002C325B"/>
    <w:rsid w:val="002C5190"/>
    <w:rsid w:val="002D59F8"/>
    <w:rsid w:val="002E7CB1"/>
    <w:rsid w:val="002E7EFB"/>
    <w:rsid w:val="002F4B2F"/>
    <w:rsid w:val="002F606F"/>
    <w:rsid w:val="002F647D"/>
    <w:rsid w:val="00303FD8"/>
    <w:rsid w:val="003040D6"/>
    <w:rsid w:val="003053CA"/>
    <w:rsid w:val="003319D1"/>
    <w:rsid w:val="00345B06"/>
    <w:rsid w:val="00346372"/>
    <w:rsid w:val="00350521"/>
    <w:rsid w:val="003521D1"/>
    <w:rsid w:val="00363875"/>
    <w:rsid w:val="003722CD"/>
    <w:rsid w:val="00380447"/>
    <w:rsid w:val="00387C8A"/>
    <w:rsid w:val="003974AC"/>
    <w:rsid w:val="003B0C40"/>
    <w:rsid w:val="003D3486"/>
    <w:rsid w:val="003D7EF3"/>
    <w:rsid w:val="003E2694"/>
    <w:rsid w:val="003E6CFD"/>
    <w:rsid w:val="003F7686"/>
    <w:rsid w:val="00401539"/>
    <w:rsid w:val="00414C13"/>
    <w:rsid w:val="00416FEB"/>
    <w:rsid w:val="00431135"/>
    <w:rsid w:val="00435827"/>
    <w:rsid w:val="00436586"/>
    <w:rsid w:val="0043675D"/>
    <w:rsid w:val="004375BF"/>
    <w:rsid w:val="00447016"/>
    <w:rsid w:val="0045138C"/>
    <w:rsid w:val="00451CC3"/>
    <w:rsid w:val="00474BDB"/>
    <w:rsid w:val="0048703A"/>
    <w:rsid w:val="004901D8"/>
    <w:rsid w:val="00491F62"/>
    <w:rsid w:val="004971C9"/>
    <w:rsid w:val="00497C87"/>
    <w:rsid w:val="004B0480"/>
    <w:rsid w:val="004D0EEB"/>
    <w:rsid w:val="004D1F3B"/>
    <w:rsid w:val="004D6960"/>
    <w:rsid w:val="004E05F7"/>
    <w:rsid w:val="004F7E58"/>
    <w:rsid w:val="00521BFC"/>
    <w:rsid w:val="005274FF"/>
    <w:rsid w:val="00540315"/>
    <w:rsid w:val="00540609"/>
    <w:rsid w:val="0054747A"/>
    <w:rsid w:val="00550971"/>
    <w:rsid w:val="0057289F"/>
    <w:rsid w:val="00572ED7"/>
    <w:rsid w:val="005833E2"/>
    <w:rsid w:val="005B1283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162E"/>
    <w:rsid w:val="006714C6"/>
    <w:rsid w:val="00673383"/>
    <w:rsid w:val="00675536"/>
    <w:rsid w:val="00685DDB"/>
    <w:rsid w:val="00692FE1"/>
    <w:rsid w:val="00694A3C"/>
    <w:rsid w:val="006953B0"/>
    <w:rsid w:val="006A129C"/>
    <w:rsid w:val="006B193E"/>
    <w:rsid w:val="006B2227"/>
    <w:rsid w:val="006C2574"/>
    <w:rsid w:val="006C78E1"/>
    <w:rsid w:val="006D513B"/>
    <w:rsid w:val="006E35D0"/>
    <w:rsid w:val="00702C16"/>
    <w:rsid w:val="007156AF"/>
    <w:rsid w:val="00715D93"/>
    <w:rsid w:val="00724E04"/>
    <w:rsid w:val="00742745"/>
    <w:rsid w:val="00754C3E"/>
    <w:rsid w:val="0075640D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C7DC5"/>
    <w:rsid w:val="007D3CB0"/>
    <w:rsid w:val="007D4ECA"/>
    <w:rsid w:val="007D52B7"/>
    <w:rsid w:val="007D638E"/>
    <w:rsid w:val="007E7D16"/>
    <w:rsid w:val="0081395C"/>
    <w:rsid w:val="0084302D"/>
    <w:rsid w:val="008431B0"/>
    <w:rsid w:val="008474F7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901FEF"/>
    <w:rsid w:val="0090729C"/>
    <w:rsid w:val="0091573A"/>
    <w:rsid w:val="00915ADC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75E7"/>
    <w:rsid w:val="009C3949"/>
    <w:rsid w:val="009D20A6"/>
    <w:rsid w:val="009D30D6"/>
    <w:rsid w:val="009D3E57"/>
    <w:rsid w:val="009D54BF"/>
    <w:rsid w:val="009E5B16"/>
    <w:rsid w:val="009E742F"/>
    <w:rsid w:val="009F29E4"/>
    <w:rsid w:val="009F50E4"/>
    <w:rsid w:val="00A10E28"/>
    <w:rsid w:val="00A15F12"/>
    <w:rsid w:val="00A664B3"/>
    <w:rsid w:val="00A9731F"/>
    <w:rsid w:val="00AA411C"/>
    <w:rsid w:val="00AB493E"/>
    <w:rsid w:val="00AB7B1B"/>
    <w:rsid w:val="00AC5EE5"/>
    <w:rsid w:val="00AE3CFF"/>
    <w:rsid w:val="00AE57EF"/>
    <w:rsid w:val="00AF3194"/>
    <w:rsid w:val="00B07856"/>
    <w:rsid w:val="00B15A0B"/>
    <w:rsid w:val="00B165CE"/>
    <w:rsid w:val="00B4020E"/>
    <w:rsid w:val="00B51DAF"/>
    <w:rsid w:val="00B652FB"/>
    <w:rsid w:val="00B67017"/>
    <w:rsid w:val="00B8193D"/>
    <w:rsid w:val="00B82F94"/>
    <w:rsid w:val="00B85EA9"/>
    <w:rsid w:val="00B9514C"/>
    <w:rsid w:val="00BA14E9"/>
    <w:rsid w:val="00BA174C"/>
    <w:rsid w:val="00BA2445"/>
    <w:rsid w:val="00BB4D81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617B3"/>
    <w:rsid w:val="00C6254D"/>
    <w:rsid w:val="00C92654"/>
    <w:rsid w:val="00CA0B7E"/>
    <w:rsid w:val="00CC2785"/>
    <w:rsid w:val="00D02AFC"/>
    <w:rsid w:val="00D33380"/>
    <w:rsid w:val="00D50956"/>
    <w:rsid w:val="00D646F9"/>
    <w:rsid w:val="00D72B76"/>
    <w:rsid w:val="00D945AE"/>
    <w:rsid w:val="00D9473E"/>
    <w:rsid w:val="00D96468"/>
    <w:rsid w:val="00D968FD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569"/>
    <w:rsid w:val="00E27661"/>
    <w:rsid w:val="00E30B15"/>
    <w:rsid w:val="00E33B38"/>
    <w:rsid w:val="00E36B6C"/>
    <w:rsid w:val="00E52EC5"/>
    <w:rsid w:val="00E559FE"/>
    <w:rsid w:val="00E569AA"/>
    <w:rsid w:val="00E664BC"/>
    <w:rsid w:val="00EA6CC1"/>
    <w:rsid w:val="00EC19B3"/>
    <w:rsid w:val="00EC1AA4"/>
    <w:rsid w:val="00EC71A9"/>
    <w:rsid w:val="00ED4338"/>
    <w:rsid w:val="00F03950"/>
    <w:rsid w:val="00F04967"/>
    <w:rsid w:val="00F129CF"/>
    <w:rsid w:val="00F152BB"/>
    <w:rsid w:val="00F2561E"/>
    <w:rsid w:val="00F2717E"/>
    <w:rsid w:val="00F307E2"/>
    <w:rsid w:val="00F35213"/>
    <w:rsid w:val="00F404FC"/>
    <w:rsid w:val="00F42886"/>
    <w:rsid w:val="00F4296C"/>
    <w:rsid w:val="00F45010"/>
    <w:rsid w:val="00F75610"/>
    <w:rsid w:val="00F86A95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0A2C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6</cp:revision>
  <cp:lastPrinted>2013-12-12T10:52:00Z</cp:lastPrinted>
  <dcterms:created xsi:type="dcterms:W3CDTF">2013-12-16T15:00:00Z</dcterms:created>
  <dcterms:modified xsi:type="dcterms:W3CDTF">2014-01-06T10:04:00Z</dcterms:modified>
</cp:coreProperties>
</file>