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23658F" w:rsidRPr="00F27689" w:rsidTr="003A7EFD"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7689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23658F" w:rsidRPr="00755531" w:rsidRDefault="0023658F" w:rsidP="00755531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755531">
              <w:rPr>
                <w:rFonts w:cs="DIN-Regular"/>
                <w:color w:val="000000"/>
              </w:rPr>
              <w:t>Mae’r safon hon yn ymwneud â’ch rôl wrth sicrhau bod pawb sy’n gysylltiedig â chyflawni canlyniadau yn gallu datrys unrhyw broblemau neu anghytundebau. Mae’n cynnwys sefydlu sail y broblem neu’r gwrthdaro, codi pryderon ar lefel uwch pan fo angen a hwyluso trafodaeth er mwyn dod i gytundeb.</w:t>
            </w:r>
          </w:p>
          <w:p w:rsidR="003B1BC7" w:rsidRPr="00755531" w:rsidRDefault="003B1BC7" w:rsidP="00755531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</w:p>
          <w:p w:rsidR="003B1BC7" w:rsidRPr="00755531" w:rsidRDefault="003B1BC7" w:rsidP="00755531">
            <w:pPr>
              <w:pStyle w:val="NOSNumberList"/>
              <w:spacing w:line="360" w:lineRule="auto"/>
              <w:rPr>
                <w:rFonts w:cs="DIN-Regular"/>
                <w:color w:val="000000"/>
              </w:rPr>
            </w:pPr>
            <w:r w:rsidRPr="00755531">
              <w:rPr>
                <w:rFonts w:cs="DIN-Regular"/>
                <w:color w:val="000000"/>
              </w:rPr>
              <w:t>Mae’r SGC hon yn berthnasol i unigolion sydd yn ymwneud â chomisiynu, caffael a chontractio mewn gwasanaethau gofal cymdeithasol.</w:t>
            </w:r>
          </w:p>
          <w:p w:rsidR="003B1BC7" w:rsidRPr="00F27689" w:rsidRDefault="003B1BC7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</w:tbl>
    <w:p w:rsidR="0023658F" w:rsidRPr="00F27689" w:rsidRDefault="0023658F" w:rsidP="002D59F8"/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425"/>
      </w:tblGrid>
      <w:tr w:rsidR="0023658F" w:rsidRPr="00F27689" w:rsidTr="003A7EFD">
        <w:tc>
          <w:tcPr>
            <w:tcW w:w="2269" w:type="dxa"/>
          </w:tcPr>
          <w:p w:rsidR="0023658F" w:rsidRPr="00F27689" w:rsidRDefault="0023658F" w:rsidP="00FB3A0B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F27689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23658F" w:rsidRPr="00F27689" w:rsidRDefault="0023658F" w:rsidP="00FB3A0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  <w:p w:rsidR="0023658F" w:rsidRPr="00F27689" w:rsidRDefault="0023658F" w:rsidP="00FB3A0B">
            <w:pPr>
              <w:spacing w:line="360" w:lineRule="auto"/>
            </w:pPr>
          </w:p>
        </w:tc>
        <w:tc>
          <w:tcPr>
            <w:tcW w:w="8505" w:type="dxa"/>
            <w:gridSpan w:val="2"/>
          </w:tcPr>
          <w:p w:rsidR="0023658F" w:rsidRPr="00F27689" w:rsidRDefault="0023658F" w:rsidP="00FB3A0B">
            <w:pPr>
              <w:pStyle w:val="NOSBodyHeading"/>
              <w:spacing w:line="360" w:lineRule="auto"/>
            </w:pPr>
            <w:r w:rsidRPr="00F27689">
              <w:t>Sefydlu sail y broblem neu’r gwrthdaro</w:t>
            </w:r>
          </w:p>
          <w:p w:rsidR="0023658F" w:rsidRPr="00F27689" w:rsidRDefault="0023658F" w:rsidP="00FB3A0B">
            <w:pPr>
              <w:pStyle w:val="NOSBodyHeading"/>
              <w:spacing w:line="360" w:lineRule="auto"/>
            </w:pP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defnyddio sgiliau cyfathrebu i sefydlu amgylchedd lle y gellir negodi’n effeithiol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cadarnhau’r broblem neu’r anghytundeb gyda’r holl bartïon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cadarnhau rhan asiantaethau eraill wrth fynd i’r afael â’r broblem neu’r anghytundeb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  <w:b/>
              </w:rPr>
              <w:t>codi pryderon ar lefel uwch</w:t>
            </w:r>
            <w:r w:rsidRPr="00F27689">
              <w:rPr>
                <w:rFonts w:cs="Arial"/>
              </w:rPr>
              <w:t xml:space="preserve"> os oes problemau o ran diogelu neu arfer gwael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dewis </w:t>
            </w:r>
            <w:r w:rsidRPr="00F27689">
              <w:rPr>
                <w:rFonts w:cs="Arial"/>
                <w:b/>
              </w:rPr>
              <w:t>dull</w:t>
            </w:r>
            <w:r w:rsidRPr="00F27689">
              <w:rPr>
                <w:rFonts w:cs="Arial"/>
              </w:rPr>
              <w:t xml:space="preserve"> ar gyfer datrys y broblem neu’r gwrthdaro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/>
              </w:rPr>
            </w:pPr>
            <w:r w:rsidRPr="00F27689">
              <w:rPr>
                <w:rFonts w:cs="Arial"/>
              </w:rPr>
              <w:t xml:space="preserve">negodi er mwyn sicrhau bod yr holl bartïon yn cytuno ar </w:t>
            </w:r>
            <w:r w:rsidRPr="00F27689">
              <w:rPr>
                <w:rFonts w:cs="Arial"/>
                <w:b/>
              </w:rPr>
              <w:t>reolau sylfaenol</w:t>
            </w:r>
            <w:r w:rsidRPr="00F27689">
              <w:rPr>
                <w:rFonts w:cs="Arial"/>
              </w:rPr>
              <w:t xml:space="preserve"> unrhyw drafodaeth</w:t>
            </w:r>
          </w:p>
          <w:p w:rsidR="0023658F" w:rsidRPr="00F27689" w:rsidRDefault="0023658F" w:rsidP="00FB3A0B">
            <w:pPr>
              <w:tabs>
                <w:tab w:val="left" w:pos="601"/>
              </w:tabs>
              <w:spacing w:line="360" w:lineRule="auto"/>
              <w:ind w:left="601"/>
              <w:rPr>
                <w:rFonts w:cs="Arial"/>
                <w:b/>
              </w:rPr>
            </w:pPr>
          </w:p>
          <w:p w:rsidR="0023658F" w:rsidRPr="00F27689" w:rsidRDefault="0023658F" w:rsidP="00FB3A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F27689">
              <w:rPr>
                <w:rFonts w:cs="Arial"/>
                <w:b/>
              </w:rPr>
              <w:t>Hwyluso’r broses o drafod y problemau</w:t>
            </w:r>
            <w:r w:rsidRPr="00F27689">
              <w:rPr>
                <w:rFonts w:cs="Arial"/>
              </w:rPr>
              <w:t xml:space="preserve"> </w:t>
            </w:r>
          </w:p>
          <w:p w:rsidR="0023658F" w:rsidRPr="00F27689" w:rsidRDefault="0023658F" w:rsidP="00FB3A0B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sicrhau bod yr holl bartïon yn dilyn y rheolau sylfaenol y cytunwyd arnynt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annog yr holl bartïon i gyfathrebu’n effeithiol wrth rannu eu safbwyntiau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crynhoi’r pwyntiau a wnaed gan bob parti yn gyson a gwneud yn siwr bod pawb yn deall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sefydlu unrhyw feysydd lle y ceir cytundeb neu lle y mae posibilrwydd o gytundeb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annog yr holl bartïon i chwilio am a chynnig </w:t>
            </w:r>
            <w:r w:rsidRPr="00F27689">
              <w:rPr>
                <w:rFonts w:cs="Arial"/>
                <w:b/>
              </w:rPr>
              <w:t>cyfleoedd ar gyfer datrysiad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sicrhau bod trafodaethau’n cael eu cynnal o fewn y graddfeydd amser y cytunwyd arnynt yn y rheolau sylfaenol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rhoi crynodeb o gynnydd i’r holl bartïon</w:t>
            </w:r>
          </w:p>
          <w:p w:rsidR="0023658F" w:rsidRPr="00F27689" w:rsidRDefault="0023658F" w:rsidP="00FB3A0B">
            <w:pPr>
              <w:spacing w:line="360" w:lineRule="auto"/>
              <w:ind w:left="884"/>
              <w:rPr>
                <w:rFonts w:cs="Arial"/>
              </w:rPr>
            </w:pPr>
          </w:p>
          <w:p w:rsidR="0023658F" w:rsidRPr="00F27689" w:rsidRDefault="0023658F" w:rsidP="00FB3A0B">
            <w:pPr>
              <w:pStyle w:val="NOSBodyHeading"/>
              <w:spacing w:line="360" w:lineRule="auto"/>
              <w:rPr>
                <w:rFonts w:cs="Arial"/>
              </w:rPr>
            </w:pPr>
            <w:r w:rsidRPr="00F27689">
              <w:t>Cynorthwyo’r part</w:t>
            </w:r>
            <w:r w:rsidRPr="00F27689">
              <w:rPr>
                <w:rFonts w:cs="Arial"/>
              </w:rPr>
              <w:t>ï</w:t>
            </w:r>
            <w:r w:rsidRPr="00F27689">
              <w:t>on i ddod i gytundeb</w:t>
            </w:r>
          </w:p>
          <w:p w:rsidR="0023658F" w:rsidRPr="00F27689" w:rsidRDefault="0023658F" w:rsidP="00FB3A0B">
            <w:pPr>
              <w:pStyle w:val="NOSBodyHeading"/>
              <w:spacing w:line="360" w:lineRule="auto"/>
              <w:rPr>
                <w:rFonts w:cs="Arial"/>
                <w:b w:val="0"/>
              </w:rPr>
            </w:pP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annog y partïon i ystyried dewisiadau ar gyfer datrysiad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awgrymu </w:t>
            </w:r>
            <w:r w:rsidRPr="00F27689">
              <w:rPr>
                <w:rFonts w:cs="Arial"/>
                <w:b/>
              </w:rPr>
              <w:t>cyfaddawdau</w:t>
            </w:r>
            <w:r w:rsidRPr="00F27689">
              <w:rPr>
                <w:rFonts w:cs="Arial"/>
              </w:rPr>
              <w:t xml:space="preserve"> gan bob parti er mwyn dod i gytundeb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cydnabod pa mor anodd yw’r cyfaddawdau a wnaed gan y partïon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cytuno sut y bydd unrhyw gytundebau a wnaed yn cael eu cofnodi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nodi unrhyw </w:t>
            </w:r>
            <w:r w:rsidRPr="00F27689">
              <w:rPr>
                <w:rFonts w:cs="Arial"/>
                <w:b/>
              </w:rPr>
              <w:t>risgiau</w:t>
            </w:r>
            <w:r w:rsidRPr="00F27689">
              <w:rPr>
                <w:rFonts w:cs="Arial"/>
              </w:rPr>
              <w:t xml:space="preserve"> sy’n gysylltiedig â’r cytundeb a wnaed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gwneud argymhellion i reoli risgiau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crynhoi’n eglur yr hyn a ddysgwyd o’r broses </w:t>
            </w:r>
          </w:p>
          <w:p w:rsidR="0023658F" w:rsidRPr="00F27689" w:rsidRDefault="0023658F" w:rsidP="00FB3A0B">
            <w:pPr>
              <w:numPr>
                <w:ilvl w:val="0"/>
                <w:numId w:val="18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>ceisio barn yr holl bartïon am sut y gellir defnyddio’r hyn a ddysgwyd</w:t>
            </w:r>
          </w:p>
        </w:tc>
      </w:tr>
      <w:tr w:rsidR="0023658F" w:rsidRPr="00F27689" w:rsidTr="003A7EFD">
        <w:tc>
          <w:tcPr>
            <w:tcW w:w="2269" w:type="dxa"/>
          </w:tcPr>
          <w:p w:rsidR="0023658F" w:rsidRPr="00F27689" w:rsidRDefault="0023658F" w:rsidP="003A7EFD">
            <w:pPr>
              <w:spacing w:line="360" w:lineRule="auto"/>
            </w:pPr>
          </w:p>
        </w:tc>
        <w:tc>
          <w:tcPr>
            <w:tcW w:w="8505" w:type="dxa"/>
            <w:gridSpan w:val="2"/>
          </w:tcPr>
          <w:p w:rsidR="0023658F" w:rsidRPr="00F27689" w:rsidRDefault="0023658F" w:rsidP="003A7EFD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  <w:tr w:rsidR="0023658F" w:rsidRPr="00F27689" w:rsidTr="003A7EFD">
        <w:trPr>
          <w:gridAfter w:val="1"/>
          <w:wAfter w:w="425" w:type="dxa"/>
        </w:trPr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F27689">
              <w:lastRenderedPageBreak/>
              <w:br w:type="page"/>
            </w:r>
            <w:r w:rsidRPr="00F27689">
              <w:rPr>
                <w:color w:val="5979CD"/>
                <w:sz w:val="22"/>
                <w:szCs w:val="22"/>
              </w:rPr>
              <w:t>Gwybodaeth a dealltwriaeth</w:t>
            </w:r>
          </w:p>
          <w:p w:rsidR="0023658F" w:rsidRPr="00F27689" w:rsidRDefault="0023658F" w:rsidP="003A7EFD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23658F" w:rsidRPr="00F27689" w:rsidRDefault="0023658F" w:rsidP="003A7EFD">
            <w:pPr>
              <w:pStyle w:val="NOSNumberList"/>
              <w:spacing w:line="360" w:lineRule="auto"/>
              <w:ind w:left="567" w:hanging="567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Yn benodol i’r </w:t>
            </w:r>
            <w:r w:rsidR="00C35295">
              <w:rPr>
                <w:rFonts w:cs="Arial"/>
                <w:b/>
              </w:rPr>
              <w:t>SGC</w:t>
            </w:r>
            <w:r w:rsidRPr="00F27689">
              <w:rPr>
                <w:rFonts w:cs="Arial"/>
                <w:b/>
              </w:rPr>
              <w:t xml:space="preserve"> hon</w:t>
            </w: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3658F" w:rsidRPr="00F27689" w:rsidTr="003A7EFD">
        <w:trPr>
          <w:gridAfter w:val="1"/>
          <w:wAfter w:w="425" w:type="dxa"/>
        </w:trPr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Default="0023658F" w:rsidP="003A7EFD">
            <w:pPr>
              <w:spacing w:line="360" w:lineRule="auto"/>
            </w:pPr>
          </w:p>
          <w:p w:rsidR="00FB3A0B" w:rsidRDefault="00FB3A0B" w:rsidP="003A7EFD">
            <w:pPr>
              <w:spacing w:line="360" w:lineRule="auto"/>
            </w:pPr>
          </w:p>
          <w:p w:rsidR="00FB3A0B" w:rsidRPr="00F27689" w:rsidRDefault="00FB3A0B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</w:p>
          <w:p w:rsidR="0023658F" w:rsidRPr="00F27689" w:rsidRDefault="0023658F" w:rsidP="00921336"/>
          <w:p w:rsidR="0023658F" w:rsidRPr="00F27689" w:rsidRDefault="0023658F" w:rsidP="00921336"/>
          <w:p w:rsidR="0023658F" w:rsidRPr="00F27689" w:rsidRDefault="0023658F" w:rsidP="00921336"/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50521"/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50521"/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Default="0023658F" w:rsidP="003A7EFD">
            <w:pPr>
              <w:spacing w:line="360" w:lineRule="auto"/>
            </w:pPr>
          </w:p>
          <w:p w:rsidR="00FB3A0B" w:rsidRPr="00F27689" w:rsidRDefault="00FB3A0B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color w:val="5979CD"/>
                <w:sz w:val="22"/>
                <w:szCs w:val="22"/>
              </w:rPr>
            </w:pPr>
            <w:r w:rsidRPr="00F27689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23658F" w:rsidRPr="00F27689" w:rsidRDefault="0023658F" w:rsidP="003A7EFD">
            <w:pPr>
              <w:spacing w:line="360" w:lineRule="auto"/>
            </w:pPr>
          </w:p>
        </w:tc>
        <w:tc>
          <w:tcPr>
            <w:tcW w:w="8080" w:type="dxa"/>
          </w:tcPr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lastRenderedPageBreak/>
              <w:t>yr asiantaethau eraill a allai fod yn gysylltiedig â mynd i’r afael â phroblemau neu wrthdaro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godi pryderon ar lefel uwch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dulliau a thechnegau ar gyfer datrys gwrthdaro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dulliau ar gyfer rheoli dynameg grwpiau, gan gynnwys datrys gwrthdaro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ddefnyddio strategaethau ar gyfer nodi datrysiadau posibl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gwahanol ddulliau o annog cyfaddawdau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ddewis a gweithredu o fewn rheolau sylfaenol</w:t>
            </w:r>
          </w:p>
          <w:p w:rsidR="0023658F" w:rsidRPr="00F27689" w:rsidRDefault="0023658F" w:rsidP="00921336">
            <w:pPr>
              <w:spacing w:line="360" w:lineRule="auto"/>
              <w:ind w:left="357"/>
              <w:rPr>
                <w:rFonts w:cs="Arial"/>
              </w:rPr>
            </w:pPr>
          </w:p>
          <w:p w:rsidR="0023658F" w:rsidRPr="00F27689" w:rsidRDefault="0023658F" w:rsidP="00921336">
            <w:pPr>
              <w:spacing w:line="360" w:lineRule="auto"/>
              <w:ind w:left="357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>Hawliau</w:t>
            </w:r>
          </w:p>
          <w:p w:rsidR="0023658F" w:rsidRPr="00F27689" w:rsidRDefault="0023658F" w:rsidP="00921336">
            <w:pPr>
              <w:spacing w:line="360" w:lineRule="auto"/>
              <w:ind w:left="357"/>
              <w:rPr>
                <w:rFonts w:cs="Arial"/>
              </w:rPr>
            </w:pP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gofynion cyfreithiol a gofynion y lleoliad gwaith o ran cwynion a chwythu’r chwiban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eich rôl chi a rolau pobl eraill o ran hybu comisiynu </w:t>
            </w:r>
            <w:r w:rsidRPr="00F27689">
              <w:rPr>
                <w:rFonts w:cs="Arial"/>
                <w:b/>
              </w:rPr>
              <w:t>cydgynhyrchiol</w:t>
            </w:r>
            <w:r w:rsidRPr="00F27689">
              <w:rPr>
                <w:rFonts w:cs="Arial"/>
              </w:rPr>
              <w:t xml:space="preserve"> 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F27689">
              <w:rPr>
                <w:rFonts w:ascii="Arial" w:hAnsi="Arial" w:cs="Arial"/>
                <w:b/>
              </w:rPr>
              <w:t>unigolion</w:t>
            </w:r>
            <w:r w:rsidRPr="00F27689">
              <w:rPr>
                <w:rFonts w:ascii="Arial" w:hAnsi="Arial" w:cs="Arial"/>
              </w:rPr>
              <w:t xml:space="preserve">, </w:t>
            </w:r>
            <w:r w:rsidRPr="00F27689">
              <w:rPr>
                <w:rFonts w:ascii="Arial" w:hAnsi="Arial" w:cs="Arial"/>
                <w:b/>
              </w:rPr>
              <w:t xml:space="preserve">pobl allweddol </w:t>
            </w:r>
            <w:r w:rsidRPr="00F27689">
              <w:rPr>
                <w:rFonts w:ascii="Arial" w:hAnsi="Arial" w:cs="Arial"/>
              </w:rPr>
              <w:t xml:space="preserve">a chymunedau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ymdrin â gwahaniaethu a’i herio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      Diogelu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241"/>
              <w:rPr>
                <w:rFonts w:cs="Arial"/>
              </w:rPr>
            </w:pP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lastRenderedPageBreak/>
              <w:t>ffactorau sy’n cynyddu’r risg o niwed neu gamdriniaeth bosibl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y gwahanol fathau o niwed neu gamdriniaeth, arferion gwael neu arferion gwahaniaethol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dangosyddion niwed neu gamdriniaeth bosibl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a phryd i roi gwybod am unrhyw bryderon ynghylch niwed neu gamdriniaeth, gan gynnwys chwythu’r chwiban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23658F" w:rsidRPr="00F27689" w:rsidRDefault="0023658F" w:rsidP="00921336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23658F" w:rsidRPr="00F27689" w:rsidRDefault="0023658F" w:rsidP="0092133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F27689">
              <w:rPr>
                <w:b/>
                <w:sz w:val="22"/>
                <w:szCs w:val="22"/>
              </w:rPr>
              <w:t xml:space="preserve">     Cynaladwyedd</w:t>
            </w:r>
          </w:p>
          <w:p w:rsidR="0023658F" w:rsidRPr="00F27689" w:rsidRDefault="0023658F" w:rsidP="00921336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 xml:space="preserve">pam mae’n bwysig gweithio mewn ffordd </w:t>
            </w:r>
            <w:r w:rsidRPr="00F27689">
              <w:rPr>
                <w:rFonts w:ascii="Arial" w:hAnsi="Arial" w:cs="Arial"/>
                <w:b/>
              </w:rPr>
              <w:t>wleidyddol, economaidd, cymdeithasegol, technolegol, cyfreithiol ac amgylcheddol gynaliadwy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>sut y gallwch ddatblygu syniadau newydd cynaliadwy yn eich rôl</w:t>
            </w:r>
          </w:p>
          <w:p w:rsidR="0023658F" w:rsidRPr="00F27689" w:rsidRDefault="0023658F" w:rsidP="00921336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23658F" w:rsidRPr="00F27689" w:rsidRDefault="0023658F" w:rsidP="00921336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F27689">
              <w:rPr>
                <w:rFonts w:cs="Arial"/>
              </w:rPr>
              <w:t xml:space="preserve">     Gweithio mewn partneriaeth</w:t>
            </w:r>
          </w:p>
          <w:p w:rsidR="0023658F" w:rsidRPr="00F27689" w:rsidRDefault="0023658F" w:rsidP="00F27689">
            <w:pPr>
              <w:pStyle w:val="NOSNumberList"/>
              <w:spacing w:line="360" w:lineRule="auto"/>
              <w:ind w:left="3920"/>
              <w:rPr>
                <w:rFonts w:cs="Arial"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y ffactorau sy’n gallu effeithio ar weithio mewn partneriaeth 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technegau ar gyfer gweithio gydag unigolion, pobl allweddol a chymunedau trwy gomisiynu, caffael a chontractio cydgynhyrchiol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i gefnogi budd pennaf unigolion, pobl allweddol a chymunedau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u w:val="single"/>
              </w:rPr>
            </w:pPr>
            <w:r w:rsidRPr="00F27689">
              <w:rPr>
                <w:rFonts w:cs="Arial"/>
                <w:b/>
              </w:rPr>
              <w:t>blaenoriaethau, buddiannau</w:t>
            </w:r>
            <w:r w:rsidRPr="00F27689">
              <w:rPr>
                <w:rFonts w:cs="Arial"/>
              </w:rPr>
              <w:t xml:space="preserve"> a chyfraniadau </w:t>
            </w:r>
            <w:r w:rsidRPr="00F27689">
              <w:rPr>
                <w:rFonts w:cs="Arial"/>
                <w:b/>
              </w:rPr>
              <w:t xml:space="preserve">rhanddeiliaid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  <w:b/>
              </w:rPr>
              <w:t>realiti gweithredol</w:t>
            </w:r>
            <w:r w:rsidRPr="00F27689">
              <w:rPr>
                <w:rFonts w:cs="Arial"/>
              </w:rPr>
              <w:t xml:space="preserve"> darparwyr gwasanaeth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polisïau, gweithdrefnau, canllawiau a phrotocolau gyda phobl eraill sy’n ymwneud â phartneriaethau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asesu effeithiolrwydd gweithio mewn partneriaeth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F27689">
              <w:rPr>
                <w:b/>
                <w:sz w:val="22"/>
                <w:szCs w:val="22"/>
              </w:rPr>
              <w:t xml:space="preserve">     Rheoli risg</w:t>
            </w:r>
          </w:p>
          <w:p w:rsidR="0023658F" w:rsidRPr="00F27689" w:rsidRDefault="0023658F" w:rsidP="00921336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y math o risgiau sy’n gysylltiedig â chomisiynu, caffael a chontractio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dulliau o nodi, asesu a rheoli risg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eich rôl chi o ran nodi, rheoli a rhoi gwybod am risg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egwyddorion cymryd risgiau cadarnhaol</w:t>
            </w:r>
            <w:r w:rsidRPr="00F27689">
              <w:rPr>
                <w:rFonts w:cs="Arial"/>
                <w:b/>
              </w:rPr>
              <w:t xml:space="preserve"> 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     Eich ymarfer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gael gwybod am weithdrefnau a ffyrdd cytûn o weithio, a gweithio yn unol â hwy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gwersi a ddysgwyd o adroddiadau, gwaith ymchwil ac ymchwiliadau’r llywodraeth ynghylch methiannau difrifol o ran ymarfer iechyd neu ofal cymdeithasol, ac o ymyraethau llwyddiannus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mae eich rôl yn cyfrannu at waith eich sefydliad a ble y gallwch fynd am gymorth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asesu effaith gweithgareddau comisiynu, caffael a chontractio ar unigolion, pobl allweddol a rhanddeiliaid eraill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i fesur cyflawni </w:t>
            </w:r>
            <w:r w:rsidRPr="00F27689">
              <w:rPr>
                <w:rFonts w:cs="Arial"/>
                <w:b/>
              </w:rPr>
              <w:t>canlyniadau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natur a phwysigrwydd darpariaeth ataliol a chymunedol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ffactorau sy’n gallu achosi gofynion sy’n gwrthdaro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technegau ar gyfer datrys problemau a meddwl yn arloesol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gyflawni eich rôl o ran rheoli adnoddau, gan gynnwys rheoli eich amser eich hun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brisio a gweithio o fewn cyllidebau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a phryd i geisio cymorth gyda chyfyng-gyngor a gwrthdaro moesegol yn eich gwaith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eich cefndir, profiadau a chredoau eich hun a allai gael effaith ar eich ymarfer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i ddefnyddio </w:t>
            </w:r>
            <w:r w:rsidRPr="00F27689">
              <w:rPr>
                <w:rFonts w:cs="Arial"/>
                <w:b/>
              </w:rPr>
              <w:t>ymarfer seiliedig ar dystiolaeth</w:t>
            </w:r>
            <w:r w:rsidRPr="00F27689">
              <w:rPr>
                <w:rFonts w:cs="Arial"/>
              </w:rPr>
              <w:t xml:space="preserve"> i gyfiawnhau eich gweithredoedd a’ch penderfyniadau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i gyfrannu at ddatblygu systemau, arferion, polisïau a gweithdrefnau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herio ymarfer gwael yn eich sefydliad eich hun a sefydliadau eraill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lastRenderedPageBreak/>
              <w:t xml:space="preserve">     Damcaniaeth ar gyfer ymarfer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mae’r modelau </w:t>
            </w:r>
            <w:r w:rsidRPr="00F27689">
              <w:rPr>
                <w:rFonts w:cs="Arial"/>
                <w:b/>
              </w:rPr>
              <w:t>cymdeithasol, meddygol a busnes</w:t>
            </w:r>
            <w:r w:rsidRPr="00F27689">
              <w:rPr>
                <w:rFonts w:cs="Arial"/>
              </w:rPr>
              <w:t xml:space="preserve"> yn effeithio ar gyflawni canlyniadau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>sut mae comisiynu, caffael a chontractio yn gallu cyfrannu at well canlyniadau i unigolion, pobl allweddol a chymunedau</w:t>
            </w:r>
          </w:p>
          <w:p w:rsidR="0023658F" w:rsidRPr="00F27689" w:rsidRDefault="0023658F" w:rsidP="00921336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     Datblygiad personol a phroffesiynol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egwyddorion ymarfer myfyriol sy’n canolbwyntio ar yr unigolyn ac wedi’i seilio ar dystiolaeth</w:t>
            </w: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  <w:lang w:eastAsia="en-GB"/>
              </w:rPr>
            </w:pPr>
            <w:r w:rsidRPr="00F27689">
              <w:rPr>
                <w:rFonts w:cs="Arial"/>
                <w:lang w:eastAsia="en-GB"/>
              </w:rPr>
              <w:t>eich rôl chi o ran rhannu a datblygu gwybodaeth ac ymarfer gyda phobl eraill, gan gynnwys pobl allweddol a chymunedau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  <w:lang w:eastAsia="en-GB"/>
              </w:rPr>
              <w:t>sut i roi adborth adeiladol i bobl eraill</w:t>
            </w:r>
            <w:r w:rsidRPr="00F27689">
              <w:rPr>
                <w:rFonts w:cs="Arial"/>
              </w:rPr>
              <w:t xml:space="preserve"> 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nodi a chael mynediad at gyfleoedd ar gyfer datblygiad proffesiynol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ddatblygu gwybodaeth ac ymarfer proffesiynol trwy oruchwylio a gwerthuso myfyriol</w:t>
            </w:r>
          </w:p>
          <w:p w:rsidR="0023658F" w:rsidRPr="00F27689" w:rsidRDefault="0023658F" w:rsidP="00921336">
            <w:pPr>
              <w:pStyle w:val="NOSNumberList"/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     Cyfathrebu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sut i ddefnyddio cyfathrebu fel sail ar gyfer comisiynu cydgynhyrchiol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  <w:bCs/>
              </w:rPr>
            </w:pPr>
            <w:r w:rsidRPr="00F27689">
              <w:rPr>
                <w:rFonts w:cs="Arial"/>
              </w:rPr>
              <w:t xml:space="preserve">dulliau o hybu cyfathrebu effeithiol â </w:t>
            </w:r>
            <w:r w:rsidRPr="00F27689">
              <w:rPr>
                <w:rFonts w:cs="Arial"/>
                <w:b/>
              </w:rPr>
              <w:t>chydweithwyr</w:t>
            </w:r>
            <w:r w:rsidRPr="00F27689">
              <w:rPr>
                <w:rFonts w:cs="Arial"/>
              </w:rPr>
              <w:t>, unigolion a rhanddeiliaid eraill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ind w:left="-326"/>
              <w:rPr>
                <w:rFonts w:cs="Arial"/>
                <w:b/>
                <w:bCs/>
              </w:rPr>
            </w:pPr>
            <w:r w:rsidRPr="00F27689">
              <w:rPr>
                <w:rFonts w:cs="Arial"/>
                <w:b/>
                <w:bCs/>
              </w:rPr>
              <w:t xml:space="preserve">          Delio â gwybodaeth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>sut i nodi, casglu, mesur ac asesu data a’i gyflwyno fel gwybodaeth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>sut mae cynhyrchion meddalwedd gwybodaeth yn gallu eich helpu i gasglu gwybodaeth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sut i gofnodi gwybodaeth ysgrifenedig yn gywir ac yn eglur, gyda </w:t>
            </w:r>
            <w:r w:rsidRPr="00F27689">
              <w:rPr>
                <w:rFonts w:cs="Arial"/>
              </w:rPr>
              <w:lastRenderedPageBreak/>
              <w:t xml:space="preserve">pherthnasedd a lefel briodol o fanylion </w:t>
            </w:r>
          </w:p>
          <w:p w:rsidR="0023658F" w:rsidRPr="00F27689" w:rsidRDefault="0023658F" w:rsidP="00921336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F27689">
              <w:rPr>
                <w:rFonts w:ascii="Arial" w:hAnsi="Arial" w:cs="Arial"/>
              </w:rPr>
              <w:t xml:space="preserve">dulliau o sicrhau bod data a gwybodaeth </w:t>
            </w:r>
            <w:r w:rsidR="00C35295">
              <w:rPr>
                <w:rFonts w:ascii="Arial" w:hAnsi="Arial" w:cs="Arial"/>
              </w:rPr>
              <w:t>yn hygyrch</w:t>
            </w:r>
            <w:r w:rsidRPr="00F27689">
              <w:rPr>
                <w:rFonts w:ascii="Arial" w:hAnsi="Arial" w:cs="Arial"/>
              </w:rPr>
              <w:t xml:space="preserve"> i unigolion, pobl allweddol a rhanddeiliaid eraill</w:t>
            </w:r>
          </w:p>
          <w:p w:rsidR="0023658F" w:rsidRPr="00F27689" w:rsidRDefault="0023658F" w:rsidP="00921336">
            <w:pPr>
              <w:pStyle w:val="NOSNumberList"/>
              <w:numPr>
                <w:ilvl w:val="0"/>
                <w:numId w:val="27"/>
              </w:numPr>
              <w:spacing w:line="360" w:lineRule="auto"/>
              <w:rPr>
                <w:rFonts w:cs="Arial"/>
                <w:b/>
              </w:rPr>
            </w:pPr>
            <w:r w:rsidRPr="00F27689">
              <w:rPr>
                <w:rFonts w:cs="Arial"/>
              </w:rPr>
              <w:t xml:space="preserve">sut a ble y gellir ac y dylid defnyddio dulliau cyfathrebu electronig 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666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NOSNumberList"/>
              <w:spacing w:line="360" w:lineRule="auto"/>
              <w:rPr>
                <w:rFonts w:cs="Arial"/>
                <w:b/>
              </w:rPr>
            </w:pPr>
            <w:r w:rsidRPr="00F27689">
              <w:rPr>
                <w:rFonts w:cs="Arial"/>
                <w:b/>
              </w:rPr>
              <w:t xml:space="preserve">      Iechyd a Diogelwch</w:t>
            </w:r>
          </w:p>
          <w:p w:rsidR="0023658F" w:rsidRPr="00F27689" w:rsidRDefault="0023658F" w:rsidP="00921336">
            <w:pPr>
              <w:pStyle w:val="NOSNumberList"/>
              <w:spacing w:line="360" w:lineRule="auto"/>
              <w:ind w:left="241"/>
              <w:rPr>
                <w:rFonts w:cs="Arial"/>
                <w:b/>
              </w:rPr>
            </w:pPr>
          </w:p>
          <w:p w:rsidR="0023658F" w:rsidRPr="00F27689" w:rsidRDefault="0023658F" w:rsidP="00921336">
            <w:pPr>
              <w:pStyle w:val="ListParagraph"/>
              <w:spacing w:line="360" w:lineRule="auto"/>
              <w:ind w:left="994" w:hanging="994"/>
              <w:rPr>
                <w:rFonts w:ascii="Arial" w:hAnsi="Arial" w:cs="Arial"/>
              </w:rPr>
            </w:pPr>
            <w:r w:rsidRPr="00F27689">
              <w:rPr>
                <w:rFonts w:ascii="Arial" w:hAnsi="Arial" w:cs="Arial"/>
              </w:rPr>
              <w:t xml:space="preserve">      K68    gofynion cyfreithiol a gofynion y lleoliad gwaith o ran iechyd a diogelwch yn yr amgylchedd gweithio</w:t>
            </w:r>
          </w:p>
          <w:p w:rsidR="0023658F" w:rsidRPr="00F27689" w:rsidRDefault="0023658F" w:rsidP="00921336">
            <w:pPr>
              <w:pStyle w:val="ListParagraph"/>
              <w:spacing w:line="360" w:lineRule="auto"/>
              <w:ind w:left="994" w:hanging="994"/>
              <w:rPr>
                <w:rFonts w:ascii="Arial" w:hAnsi="Arial" w:cs="Arial"/>
              </w:rPr>
            </w:pPr>
          </w:p>
        </w:tc>
      </w:tr>
    </w:tbl>
    <w:p w:rsidR="0023658F" w:rsidRPr="00F27689" w:rsidRDefault="0023658F" w:rsidP="002D59F8">
      <w:pPr>
        <w:sectPr w:rsidR="0023658F" w:rsidRPr="00F27689" w:rsidSect="00DE51D1">
          <w:headerReference w:type="default" r:id="rId9"/>
          <w:footerReference w:type="default" r:id="rId10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  <w:gridCol w:w="283"/>
      </w:tblGrid>
      <w:tr w:rsidR="0023658F" w:rsidRPr="00F27689" w:rsidTr="003A7EFD">
        <w:tc>
          <w:tcPr>
            <w:tcW w:w="10490" w:type="dxa"/>
            <w:gridSpan w:val="3"/>
          </w:tcPr>
          <w:p w:rsidR="0023658F" w:rsidRPr="00F27689" w:rsidRDefault="0023658F" w:rsidP="003A7EFD">
            <w:pPr>
              <w:pStyle w:val="Heading1"/>
              <w:spacing w:before="0"/>
              <w:rPr>
                <w:b w:val="0"/>
                <w:sz w:val="22"/>
                <w:szCs w:val="22"/>
              </w:rPr>
            </w:pPr>
            <w:r w:rsidRPr="00F27689">
              <w:rPr>
                <w:sz w:val="22"/>
                <w:szCs w:val="22"/>
              </w:rPr>
              <w:lastRenderedPageBreak/>
              <w:t>Gwybodaeth ychwanegol</w:t>
            </w:r>
          </w:p>
          <w:p w:rsidR="0023658F" w:rsidRPr="00F27689" w:rsidRDefault="0023658F" w:rsidP="003A7EFD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23658F" w:rsidRPr="00F27689" w:rsidTr="003A7EFD"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F27689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23658F" w:rsidRPr="00F27689" w:rsidRDefault="0023658F" w:rsidP="003A7EFD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23658F" w:rsidRPr="00F27689" w:rsidRDefault="0023658F" w:rsidP="0092133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7689">
              <w:t xml:space="preserve">Mae’r manylion yn y maes hwn yn ddatganiadau esboniadol o’r cwmpas a/neu yn enghreifftiau o gyd-destunau posibl lle y gallai’r </w:t>
            </w:r>
            <w:r w:rsidR="00C35295">
              <w:t>SGC</w:t>
            </w:r>
            <w:r w:rsidRPr="00F27689">
              <w:t xml:space="preserve"> fod yn gymwys; ni ddylid eu hystyried yn ddatganiadau ystod sy’n ofynnol i gyflawni’r </w:t>
            </w:r>
            <w:r w:rsidR="00C35295">
              <w:t>SGC</w:t>
            </w:r>
            <w:r w:rsidRPr="00F27689">
              <w:rPr>
                <w:rFonts w:cs="Arial"/>
                <w:lang w:eastAsia="en-GB"/>
              </w:rPr>
              <w:t>.</w:t>
            </w:r>
          </w:p>
          <w:p w:rsidR="0023658F" w:rsidRPr="00F27689" w:rsidRDefault="0023658F" w:rsidP="003A7EFD">
            <w:pPr>
              <w:spacing w:line="360" w:lineRule="auto"/>
            </w:pPr>
          </w:p>
          <w:p w:rsidR="0023658F" w:rsidRPr="00F27689" w:rsidRDefault="0023658F" w:rsidP="00635BD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7689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23658F" w:rsidRPr="00F27689" w:rsidRDefault="0023658F" w:rsidP="00635BD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23658F" w:rsidRPr="00F27689" w:rsidRDefault="0023658F" w:rsidP="00635BDD">
            <w:pPr>
              <w:spacing w:line="360" w:lineRule="auto"/>
              <w:rPr>
                <w:lang w:eastAsia="en-GB"/>
              </w:rPr>
            </w:pPr>
            <w:r w:rsidRPr="00F27689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23658F" w:rsidRPr="00F27689" w:rsidRDefault="0023658F" w:rsidP="003A7EFD">
            <w:pPr>
              <w:spacing w:line="360" w:lineRule="auto"/>
              <w:rPr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F27689">
              <w:rPr>
                <w:rFonts w:eastAsia="Times New Roman" w:cs="Arial"/>
                <w:b/>
                <w:color w:val="000000"/>
                <w:lang w:val="en-US" w:eastAsia="en-GB"/>
              </w:rPr>
              <w:t>Codi pryderon ar lefel uwch</w:t>
            </w:r>
            <w:r w:rsidRPr="00F27689">
              <w:rPr>
                <w:rFonts w:eastAsia="Times New Roman" w:cs="Arial"/>
                <w:color w:val="000000"/>
                <w:lang w:val="en-US" w:eastAsia="en-GB"/>
              </w:rPr>
              <w:t xml:space="preserve"> yw pan fydd problemau neu bryderon wedi cronni ac mae angen i asiantaethau allweddol, megis comisiynwyr, darparwyr gwasanaeth, rheoleiddwyr, yr heddlu, unigolion, pobl allweddol neu bobl eraill, weithio gyda’i gilydd i fynd i’r afael â’r problemau neu’r pryderon hynny.</w:t>
            </w: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lang w:eastAsia="en-GB"/>
              </w:rPr>
            </w:pPr>
            <w:r w:rsidRPr="00F27689">
              <w:rPr>
                <w:bCs/>
                <w:lang w:eastAsia="en-GB"/>
              </w:rPr>
              <w:t>Dylai’r</w:t>
            </w:r>
            <w:r w:rsidRPr="00F27689">
              <w:rPr>
                <w:b/>
                <w:bCs/>
                <w:lang w:eastAsia="en-GB"/>
              </w:rPr>
              <w:t xml:space="preserve"> dull</w:t>
            </w:r>
            <w:r w:rsidRPr="00F27689">
              <w:rPr>
                <w:bCs/>
                <w:lang w:eastAsia="en-GB"/>
              </w:rPr>
              <w:t xml:space="preserve"> a ddefnyddir gennych ddechrau gyda negodi a chydweithredu, ond gallai hefyd gynnwys dulliau mwy ffurfiol fel defnyddio camau disgyblu, gweithdrefnau achwyn, camau cyfreithiol, anghydfod diwydiannol, cyfryngu allanol, cyflafareddu, proses apelio, proses gwyno neu achos troseddol</w:t>
            </w:r>
            <w:r w:rsidRPr="00F27689">
              <w:rPr>
                <w:lang w:eastAsia="en-GB"/>
              </w:rPr>
              <w:t>.</w:t>
            </w:r>
          </w:p>
          <w:p w:rsidR="0023658F" w:rsidRPr="00F27689" w:rsidRDefault="0023658F" w:rsidP="003A7EFD">
            <w:pPr>
              <w:spacing w:line="360" w:lineRule="auto"/>
              <w:rPr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Er mwyn helpu grŵp i weithredu’n effeithiol, gellir defnyddio </w:t>
            </w:r>
            <w:r w:rsidRPr="00F27689">
              <w:rPr>
                <w:rFonts w:cs="Arial"/>
                <w:b/>
              </w:rPr>
              <w:t xml:space="preserve">rheolau sylfaenol </w:t>
            </w:r>
            <w:r w:rsidRPr="00F27689">
              <w:rPr>
                <w:rFonts w:cs="Arial"/>
              </w:rPr>
              <w:t>i sefydlu’r graddfeydd amser, y lefel cyfrinachedd, yr ymddygiad a ddisgwylir, y bobl a fydd yn bresennol a’r trefniadau ar gyfer dosbarthu unrhyw adroddiad neu adborth.</w:t>
            </w: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Gallai </w:t>
            </w:r>
            <w:r w:rsidRPr="00F27689">
              <w:rPr>
                <w:rFonts w:cs="Arial"/>
                <w:b/>
              </w:rPr>
              <w:t xml:space="preserve">cyfleoedd ar gyfer datrysiad </w:t>
            </w:r>
            <w:r w:rsidRPr="00F27689">
              <w:rPr>
                <w:rFonts w:cs="Arial"/>
              </w:rPr>
              <w:t>fod yn bosibl trwy gyfaddawdu, cyfaddef camgymeriadau neu fod yn anghywir, newid safbwyntiau neu dynnu’n ôl o’r broses.</w:t>
            </w:r>
          </w:p>
          <w:p w:rsidR="0023658F" w:rsidRPr="00F27689" w:rsidRDefault="0023658F" w:rsidP="003A7EFD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3A7EFD">
            <w:pPr>
              <w:pStyle w:val="Default"/>
              <w:spacing w:line="360" w:lineRule="auto"/>
              <w:rPr>
                <w:bCs/>
                <w:sz w:val="22"/>
                <w:szCs w:val="22"/>
              </w:rPr>
            </w:pPr>
            <w:r w:rsidRPr="00F27689">
              <w:rPr>
                <w:bCs/>
                <w:sz w:val="22"/>
                <w:szCs w:val="22"/>
              </w:rPr>
              <w:lastRenderedPageBreak/>
              <w:t xml:space="preserve">Nod </w:t>
            </w:r>
            <w:r w:rsidRPr="00F27689">
              <w:rPr>
                <w:b/>
                <w:bCs/>
                <w:sz w:val="22"/>
                <w:szCs w:val="22"/>
              </w:rPr>
              <w:t>cyfaddawdau</w:t>
            </w:r>
            <w:r w:rsidRPr="00F27689">
              <w:rPr>
                <w:bCs/>
                <w:sz w:val="22"/>
                <w:szCs w:val="22"/>
              </w:rPr>
              <w:t xml:space="preserve"> yw bodloni’r rhan fwyaf o ddymuniadau’r rhai hynny sy’n gysylltiedig, gyda’r disgwyliad bod yr holl bartïon yn fodlon negodi ac ildio er mwyn dod i gytundeb cyffredin.</w:t>
            </w:r>
          </w:p>
          <w:p w:rsidR="0023658F" w:rsidRPr="00F27689" w:rsidRDefault="0023658F" w:rsidP="003A7EFD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</w:p>
          <w:p w:rsidR="0023658F" w:rsidRPr="00F27689" w:rsidRDefault="0023658F" w:rsidP="003A7EFD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F27689">
              <w:rPr>
                <w:sz w:val="22"/>
                <w:szCs w:val="22"/>
              </w:rPr>
              <w:t xml:space="preserve">Mae </w:t>
            </w:r>
            <w:r w:rsidRPr="00F27689">
              <w:rPr>
                <w:b/>
                <w:sz w:val="22"/>
                <w:szCs w:val="22"/>
              </w:rPr>
              <w:t>risgiau</w:t>
            </w:r>
            <w:r w:rsidRPr="00F27689">
              <w:rPr>
                <w:sz w:val="22"/>
                <w:szCs w:val="22"/>
              </w:rPr>
              <w:t xml:space="preserve"> yn cynnwys amrywiaeth eang o risgiau i bobl, eiddo a sefydliadau, a gall ystod eang o ffactorau ddylanwadu arnynt.</w:t>
            </w: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  <w:p w:rsidR="0023658F" w:rsidRPr="00F27689" w:rsidRDefault="0023658F" w:rsidP="003A7EFD">
            <w:pPr>
              <w:autoSpaceDE w:val="0"/>
              <w:autoSpaceDN w:val="0"/>
              <w:adjustRightInd w:val="0"/>
              <w:rPr>
                <w:rFonts w:cs="Arial"/>
                <w:lang w:eastAsia="en-GB"/>
              </w:rPr>
            </w:pPr>
          </w:p>
        </w:tc>
      </w:tr>
      <w:tr w:rsidR="0023658F" w:rsidRPr="00F27689" w:rsidTr="003A7EFD"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/>
              <w:rPr>
                <w:b w:val="0"/>
              </w:rPr>
            </w:pPr>
          </w:p>
        </w:tc>
        <w:tc>
          <w:tcPr>
            <w:tcW w:w="8221" w:type="dxa"/>
            <w:gridSpan w:val="2"/>
          </w:tcPr>
          <w:p w:rsidR="0023658F" w:rsidRPr="00F27689" w:rsidRDefault="0023658F" w:rsidP="003A7EFD">
            <w:pPr>
              <w:pStyle w:val="NOSBodyText"/>
              <w:spacing w:line="360" w:lineRule="auto"/>
            </w:pPr>
            <w:bookmarkStart w:id="0" w:name="EndScopeKU"/>
            <w:bookmarkEnd w:id="0"/>
          </w:p>
        </w:tc>
      </w:tr>
      <w:tr w:rsidR="0023658F" w:rsidRPr="00F27689" w:rsidTr="003A7EFD">
        <w:trPr>
          <w:gridAfter w:val="1"/>
          <w:wAfter w:w="283" w:type="dxa"/>
        </w:trPr>
        <w:tc>
          <w:tcPr>
            <w:tcW w:w="2269" w:type="dxa"/>
          </w:tcPr>
          <w:p w:rsidR="0023658F" w:rsidRPr="00F27689" w:rsidRDefault="0023658F" w:rsidP="003A7EFD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F27689">
              <w:rPr>
                <w:color w:val="5979CD"/>
                <w:sz w:val="22"/>
                <w:szCs w:val="22"/>
              </w:rPr>
              <w:t>Cwmpas / ystod yn gysylltiedig â gwybodaeth a dealltwriaeth:</w:t>
            </w: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F27689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23658F" w:rsidRPr="00F27689" w:rsidRDefault="0023658F" w:rsidP="00CD7622">
            <w:pPr>
              <w:spacing w:line="360" w:lineRule="auto"/>
            </w:pPr>
            <w:r w:rsidRPr="00F27689">
              <w:lastRenderedPageBreak/>
              <w:t xml:space="preserve">Mae’r manylion yn y maes hwn yn ddatganiadau esboniadol o’r cwmpas a/neu yn enghreifftiau o gyd-destunau posibl lle y gallai’r </w:t>
            </w:r>
            <w:r w:rsidR="00C35295">
              <w:t>SGC</w:t>
            </w:r>
            <w:r w:rsidRPr="00F27689">
              <w:t xml:space="preserve"> fod yn gymwys; ni ddylid eu hystyried yn ddatganiadau ystod sy’n ofynnol i gyflawni’r </w:t>
            </w:r>
            <w:r w:rsidR="00C35295">
              <w:t>SGC</w:t>
            </w:r>
            <w:r w:rsidRPr="00F27689">
              <w:t>.</w:t>
            </w:r>
          </w:p>
          <w:p w:rsidR="0023658F" w:rsidRPr="00F27689" w:rsidRDefault="0023658F" w:rsidP="00CD7622">
            <w:pPr>
              <w:spacing w:line="360" w:lineRule="auto"/>
            </w:pPr>
          </w:p>
          <w:p w:rsidR="0023658F" w:rsidRPr="00F27689" w:rsidRDefault="0023658F" w:rsidP="00CD7622">
            <w:pPr>
              <w:spacing w:line="360" w:lineRule="auto"/>
              <w:rPr>
                <w:b/>
              </w:rPr>
            </w:pPr>
            <w:r w:rsidRPr="00F27689">
              <w:rPr>
                <w:b/>
              </w:rPr>
              <w:t>Mae’n rhaid cymhwyso pob datganiad am wybodaeth yng nghyd-destun y safon hon.</w:t>
            </w:r>
          </w:p>
          <w:p w:rsidR="0023658F" w:rsidRPr="00F27689" w:rsidRDefault="0023658F" w:rsidP="00CD7622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lang w:eastAsia="en-GB"/>
              </w:rPr>
            </w:pPr>
            <w:r w:rsidRPr="00F27689">
              <w:rPr>
                <w:rFonts w:cs="Arial"/>
                <w:lang w:val="cy-GB" w:eastAsia="en-GB"/>
              </w:rPr>
              <w:t xml:space="preserve">Mae’r broses </w:t>
            </w:r>
            <w:r w:rsidRPr="00F27689">
              <w:rPr>
                <w:rFonts w:cs="Arial"/>
                <w:b/>
                <w:lang w:val="cy-GB" w:eastAsia="en-GB"/>
              </w:rPr>
              <w:t>cydgynhyrchu</w:t>
            </w:r>
            <w:r w:rsidRPr="00F27689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F27689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23658F" w:rsidRPr="00F27689" w:rsidRDefault="0023658F" w:rsidP="00CD7622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23658F" w:rsidRPr="00F27689" w:rsidRDefault="0023658F" w:rsidP="00CD762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F27689">
              <w:rPr>
                <w:rFonts w:cs="Arial"/>
                <w:lang w:eastAsia="en-GB"/>
              </w:rPr>
              <w:t xml:space="preserve">Yr </w:t>
            </w:r>
            <w:r w:rsidRPr="00F27689">
              <w:rPr>
                <w:rFonts w:cs="Arial"/>
                <w:b/>
                <w:lang w:eastAsia="en-GB"/>
              </w:rPr>
              <w:t>unigolyn</w:t>
            </w:r>
            <w:r w:rsidRPr="00F27689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23658F" w:rsidRPr="00F27689" w:rsidRDefault="0023658F" w:rsidP="00CD7622">
            <w:pPr>
              <w:spacing w:line="360" w:lineRule="auto"/>
              <w:rPr>
                <w:lang w:eastAsia="en-GB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  <w:b/>
              </w:rPr>
              <w:t>Pobl allweddol</w:t>
            </w:r>
            <w:r w:rsidRPr="00F27689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C35295">
              <w:rPr>
                <w:rFonts w:cs="Arial"/>
              </w:rPr>
              <w:t>cynhalwyr</w:t>
            </w:r>
            <w:r w:rsidRPr="00F27689">
              <w:rPr>
                <w:rFonts w:cs="Arial"/>
              </w:rPr>
              <w:t xml:space="preserve"> ac eraill y mae gan yr unigolyn berthynas gefnogol â nhw.</w:t>
            </w: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Defnyddir y model </w:t>
            </w:r>
            <w:r w:rsidRPr="00F27689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F27689">
              <w:rPr>
                <w:rFonts w:cs="Arial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23658F" w:rsidRPr="00F27689" w:rsidRDefault="0023658F" w:rsidP="00CD7622">
            <w:pPr>
              <w:spacing w:line="360" w:lineRule="auto"/>
              <w:ind w:left="97"/>
              <w:rPr>
                <w:rFonts w:cs="Arial"/>
                <w:lang w:eastAsia="en-GB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Mae </w:t>
            </w:r>
            <w:r w:rsidRPr="00F27689">
              <w:rPr>
                <w:rFonts w:cs="Arial"/>
                <w:b/>
              </w:rPr>
              <w:t xml:space="preserve">blaenoriaethau a buddiannau </w:t>
            </w:r>
            <w:r w:rsidRPr="00F27689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23658F" w:rsidRPr="00F27689" w:rsidRDefault="0023658F" w:rsidP="00CD7622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Mae </w:t>
            </w:r>
            <w:r w:rsidRPr="00F27689">
              <w:rPr>
                <w:rFonts w:cs="Arial"/>
                <w:b/>
              </w:rPr>
              <w:t>rhanddeiliaid</w:t>
            </w:r>
            <w:r w:rsidRPr="00F27689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</w:t>
            </w:r>
            <w:r w:rsidRPr="00F27689">
              <w:rPr>
                <w:rFonts w:cs="Arial"/>
              </w:rPr>
              <w:lastRenderedPageBreak/>
              <w:t>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  <w:b/>
              </w:rPr>
              <w:t>Realiti gweithredol</w:t>
            </w:r>
            <w:r w:rsidRPr="00F27689">
              <w:rPr>
                <w:rFonts w:cs="Arial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Defnyddir y term </w:t>
            </w:r>
            <w:r w:rsidRPr="00F27689">
              <w:rPr>
                <w:rFonts w:cs="Arial"/>
                <w:b/>
              </w:rPr>
              <w:t>sefydliad</w:t>
            </w:r>
            <w:r w:rsidRPr="00F27689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23658F" w:rsidRPr="00F27689" w:rsidRDefault="0023658F" w:rsidP="00CD7622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  <w:lang w:eastAsia="en-GB"/>
              </w:rPr>
            </w:pPr>
            <w:r w:rsidRPr="00F27689">
              <w:rPr>
                <w:rFonts w:cs="Arial"/>
                <w:b/>
                <w:lang w:eastAsia="en-GB"/>
              </w:rPr>
              <w:t xml:space="preserve">Canlyniadau </w:t>
            </w:r>
            <w:r w:rsidRPr="00F27689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23658F" w:rsidRPr="00F27689" w:rsidRDefault="0023658F" w:rsidP="00CD7622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Mae </w:t>
            </w:r>
            <w:r w:rsidRPr="00F27689">
              <w:rPr>
                <w:rFonts w:cs="Arial"/>
                <w:b/>
              </w:rPr>
              <w:t>ymarfer seiliedig ar dystiolaeth</w:t>
            </w:r>
            <w:r w:rsidRPr="00F27689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 xml:space="preserve">Mae’r </w:t>
            </w:r>
            <w:r w:rsidRPr="00F27689">
              <w:rPr>
                <w:rFonts w:cs="Arial"/>
                <w:b/>
              </w:rPr>
              <w:t xml:space="preserve">model cymdeithasol </w:t>
            </w:r>
            <w:r w:rsidRPr="00F27689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C35295">
              <w:rPr>
                <w:rFonts w:cs="Arial"/>
              </w:rPr>
              <w:t>Mae’r</w:t>
            </w:r>
            <w:r w:rsidRPr="00F27689">
              <w:rPr>
                <w:rFonts w:cs="Arial"/>
              </w:rPr>
              <w:t xml:space="preserve"> </w:t>
            </w:r>
            <w:r w:rsidRPr="00F27689">
              <w:rPr>
                <w:rFonts w:cs="Arial"/>
                <w:b/>
              </w:rPr>
              <w:t>model meddygol</w:t>
            </w:r>
            <w:r w:rsidRPr="00F27689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F27689">
              <w:rPr>
                <w:rFonts w:cs="Arial"/>
                <w:b/>
              </w:rPr>
              <w:t>modelau busnes</w:t>
            </w:r>
            <w:r w:rsidRPr="00F27689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23658F" w:rsidRPr="00F27689" w:rsidRDefault="0023658F" w:rsidP="00CD7622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CD7622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F27689">
              <w:rPr>
                <w:rFonts w:cs="Arial"/>
                <w:b/>
                <w:lang w:eastAsia="en-GB"/>
              </w:rPr>
              <w:t xml:space="preserve">Cydweithwyr </w:t>
            </w:r>
            <w:r w:rsidRPr="00F27689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F27689">
              <w:rPr>
                <w:rFonts w:cs="Arial"/>
                <w:b/>
                <w:lang w:eastAsia="en-GB"/>
              </w:rPr>
              <w:t xml:space="preserve"> </w:t>
            </w:r>
          </w:p>
          <w:p w:rsidR="0023658F" w:rsidRPr="00F27689" w:rsidRDefault="0023658F" w:rsidP="003A7EF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23658F" w:rsidRPr="00F27689" w:rsidRDefault="0023658F" w:rsidP="003A7EFD">
            <w:pPr>
              <w:spacing w:line="360" w:lineRule="auto"/>
              <w:rPr>
                <w:b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3A7EFD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F27689">
              <w:rPr>
                <w:rFonts w:cs="Arial"/>
              </w:rPr>
              <w:t>: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eu trin fel unigolyn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eu trin yn gyfartal a pheidio ag wynebu gwahaniaethu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eu parchu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preifatrwydd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eu trin mewn ffordd urddasol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eu diogelu rhag perygl a niwed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gyfathrebu gan ddefnyddio eu dulliau cyfathrebu ac iaith ddewisol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  <w:r w:rsidRPr="00F27689">
              <w:rPr>
                <w:rFonts w:cs="Arial"/>
              </w:rPr>
              <w:t>I allu cael gafael ar wybodaeth amdanynt hwy eu hunain</w:t>
            </w:r>
          </w:p>
          <w:p w:rsidR="0023658F" w:rsidRPr="00F27689" w:rsidRDefault="0023658F" w:rsidP="00233264">
            <w:pPr>
              <w:spacing w:line="360" w:lineRule="auto"/>
              <w:rPr>
                <w:rFonts w:cs="Arial"/>
              </w:rPr>
            </w:pPr>
          </w:p>
          <w:p w:rsidR="0023658F" w:rsidRPr="00F27689" w:rsidRDefault="0023658F" w:rsidP="00233264">
            <w:pPr>
              <w:spacing w:line="360" w:lineRule="auto"/>
            </w:pPr>
            <w:r w:rsidRPr="00F27689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23658F" w:rsidRPr="00F27689" w:rsidRDefault="0023658F" w:rsidP="00233264">
            <w:pPr>
              <w:spacing w:line="360" w:lineRule="auto"/>
            </w:pPr>
          </w:p>
          <w:p w:rsidR="0023658F" w:rsidRPr="00F27689" w:rsidRDefault="0023658F" w:rsidP="00233264">
            <w:pPr>
              <w:spacing w:line="360" w:lineRule="auto"/>
            </w:pPr>
            <w:r w:rsidRPr="00F27689">
              <w:t>Barchu gwerth ac urddas cynhenid pob unigolyn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Parchu hawliau dynol plant, pobl ifanc ac oedolion</w:t>
            </w:r>
          </w:p>
          <w:p w:rsidR="0023658F" w:rsidRPr="00F27689" w:rsidRDefault="0023658F" w:rsidP="00233264">
            <w:pPr>
              <w:spacing w:line="360" w:lineRule="auto"/>
              <w:rPr>
                <w:rFonts w:eastAsia="Times New Roman"/>
              </w:rPr>
            </w:pPr>
            <w:r w:rsidRPr="00F27689">
              <w:rPr>
                <w:rFonts w:eastAsia="Times New Roman"/>
              </w:rPr>
              <w:t>Parchu hawl pobl i gymryd risgiau cadarnhaol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yn dryloyw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yn atebol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yn gymesur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yn gyson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wedi’u targedu</w:t>
            </w:r>
          </w:p>
          <w:p w:rsidR="0023658F" w:rsidRPr="00F27689" w:rsidRDefault="0023658F" w:rsidP="00233264">
            <w:pPr>
              <w:spacing w:line="360" w:lineRule="auto"/>
            </w:pPr>
            <w:r w:rsidRPr="00F27689">
              <w:t>Bod yn ddiduedd</w:t>
            </w:r>
          </w:p>
          <w:p w:rsidR="0023658F" w:rsidRPr="00F27689" w:rsidRDefault="0023658F" w:rsidP="00233264">
            <w:pPr>
              <w:spacing w:line="360" w:lineRule="auto"/>
              <w:rPr>
                <w:rFonts w:eastAsia="Times New Roman"/>
              </w:rPr>
            </w:pPr>
            <w:r w:rsidRPr="00F27689">
              <w:t>Galluogi darparwyr</w:t>
            </w:r>
          </w:p>
          <w:p w:rsidR="0023658F" w:rsidRPr="00F27689" w:rsidRDefault="0023658F" w:rsidP="003A7EFD">
            <w:pPr>
              <w:spacing w:line="360" w:lineRule="auto"/>
              <w:rPr>
                <w:rFonts w:cs="Arial"/>
              </w:rPr>
            </w:pPr>
          </w:p>
        </w:tc>
      </w:tr>
    </w:tbl>
    <w:p w:rsidR="0023658F" w:rsidRPr="00F27689" w:rsidRDefault="0023658F" w:rsidP="002D59F8">
      <w:r w:rsidRPr="00F27689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C4225F">
              <w:rPr>
                <w:rFonts w:cs="Arial"/>
                <w:sz w:val="22"/>
              </w:rPr>
              <w:lastRenderedPageBreak/>
              <w:br w:type="page"/>
            </w:r>
            <w:r w:rsidRPr="00C4225F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23658F" w:rsidRPr="00C4225F" w:rsidRDefault="0023658F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" w:name="StartDevelopedBy"/>
            <w:bookmarkEnd w:id="1"/>
            <w:r w:rsidRPr="00C4225F">
              <w:rPr>
                <w:rFonts w:cs="Arial"/>
              </w:rPr>
              <w:t>Sgiliau Gofal a Datblygu</w:t>
            </w:r>
          </w:p>
          <w:p w:rsidR="0023658F" w:rsidRPr="00C4225F" w:rsidRDefault="0023658F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2" w:name="EndDevelopedBy"/>
            <w:bookmarkEnd w:id="2"/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C4225F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23658F" w:rsidRPr="00C4225F" w:rsidRDefault="003A3563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3" w:name="StartVersion"/>
            <w:bookmarkStart w:id="4" w:name="EndVersion"/>
            <w:bookmarkEnd w:id="3"/>
            <w:bookmarkEnd w:id="4"/>
            <w:r w:rsidRPr="00C4225F">
              <w:rPr>
                <w:rFonts w:cs="Arial"/>
              </w:rPr>
              <w:t>2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23658F" w:rsidRPr="00C4225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C4225F">
              <w:rPr>
                <w:rFonts w:cs="Arial"/>
              </w:rPr>
              <w:t>Chwefror 2014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23658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C4225F">
              <w:rPr>
                <w:rFonts w:cs="Arial"/>
              </w:rPr>
              <w:t>Chwefror 2019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23658F" w:rsidRPr="00C4225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C4225F">
              <w:rPr>
                <w:rFonts w:cs="Arial"/>
              </w:rPr>
              <w:t>Cyfredol</w:t>
            </w: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23658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C4225F">
              <w:rPr>
                <w:rFonts w:cs="Arial"/>
              </w:rPr>
              <w:t>Gwreiddiol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_GoBack"/>
            <w:bookmarkEnd w:id="13"/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23658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C4225F">
              <w:rPr>
                <w:rFonts w:cs="Arial"/>
              </w:rPr>
              <w:t>Sgiliau Gofal a Datblygu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23658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C4225F">
              <w:rPr>
                <w:rFonts w:cs="Arial"/>
              </w:rPr>
              <w:t>CPC304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23658F" w:rsidRDefault="0023658F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C4225F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C4225F" w:rsidRPr="00C4225F" w:rsidRDefault="00C4225F" w:rsidP="0057289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F27689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23658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C4225F">
              <w:rPr>
                <w:rFonts w:cs="Arial"/>
              </w:rPr>
              <w:t>Comisiynu, Caffael a Chontractio ar gyfer Gwasanaethau Gofal</w:t>
            </w:r>
          </w:p>
          <w:p w:rsidR="00C4225F" w:rsidRPr="00C4225F" w:rsidRDefault="00C4225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23658F" w:rsidRPr="003A7EFD" w:rsidTr="007D638E">
        <w:tc>
          <w:tcPr>
            <w:tcW w:w="2387" w:type="dxa"/>
          </w:tcPr>
          <w:p w:rsidR="0023658F" w:rsidRPr="00C4225F" w:rsidRDefault="0023658F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C4225F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23658F" w:rsidRPr="00C4225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C4225F">
              <w:rPr>
                <w:rFonts w:cs="Arial"/>
              </w:rPr>
              <w:t xml:space="preserve">Hwyluso; datrysiad; problemau; gwrthdaro; canlyniadau; cytundeb </w:t>
            </w:r>
          </w:p>
          <w:p w:rsidR="0023658F" w:rsidRPr="00C4225F" w:rsidRDefault="0023658F" w:rsidP="00C4225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23658F" w:rsidRPr="002D59F8" w:rsidRDefault="0023658F" w:rsidP="009A75E7">
      <w:pPr>
        <w:spacing w:line="360" w:lineRule="auto"/>
      </w:pPr>
    </w:p>
    <w:sectPr w:rsidR="0023658F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D91" w:rsidRDefault="00384D91" w:rsidP="00521BFC">
      <w:r>
        <w:separator/>
      </w:r>
    </w:p>
  </w:endnote>
  <w:endnote w:type="continuationSeparator" w:id="0">
    <w:p w:rsidR="00384D91" w:rsidRDefault="00384D91" w:rsidP="00521BFC">
      <w:r>
        <w:continuationSeparator/>
      </w:r>
    </w:p>
  </w:endnote>
  <w:endnote w:type="continuationNotice" w:id="1">
    <w:p w:rsidR="00384D91" w:rsidRDefault="00384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23658F" w:rsidRPr="003A7EFD" w:rsidTr="003A7EFD">
      <w:trPr>
        <w:trHeight w:val="567"/>
      </w:trPr>
      <w:tc>
        <w:tcPr>
          <w:tcW w:w="9356" w:type="dxa"/>
        </w:tcPr>
        <w:p w:rsidR="0023658F" w:rsidRPr="003A7EFD" w:rsidRDefault="0023658F" w:rsidP="0011084A">
          <w:pPr>
            <w:rPr>
              <w:rFonts w:ascii="Calibri" w:hAnsi="Calibri"/>
              <w:sz w:val="20"/>
              <w:szCs w:val="20"/>
            </w:rPr>
          </w:pPr>
          <w:r w:rsidRPr="003A7EFD">
            <w:rPr>
              <w:rFonts w:ascii="Calibri" w:hAnsi="Calibri"/>
              <w:sz w:val="20"/>
              <w:szCs w:val="20"/>
            </w:rPr>
            <w:t xml:space="preserve">SCDCPC304 </w:t>
          </w:r>
          <w:r>
            <w:rPr>
              <w:rFonts w:ascii="Calibri" w:hAnsi="Calibri"/>
              <w:sz w:val="20"/>
              <w:szCs w:val="20"/>
            </w:rPr>
            <w:t>Hwyluso’r broses o ddatrys problemau neu wrthdaro wrth gomisiynu, caffael a chontractio</w:t>
          </w:r>
        </w:p>
      </w:tc>
      <w:tc>
        <w:tcPr>
          <w:tcW w:w="1134" w:type="dxa"/>
        </w:tcPr>
        <w:p w:rsidR="0023658F" w:rsidRPr="003A7EFD" w:rsidRDefault="0023658F" w:rsidP="003A7EFD">
          <w:pPr>
            <w:jc w:val="right"/>
            <w:rPr>
              <w:rFonts w:ascii="Calibri" w:hAnsi="Calibri"/>
              <w:sz w:val="20"/>
              <w:szCs w:val="20"/>
            </w:rPr>
          </w:pPr>
          <w:r w:rsidRPr="003A7EFD">
            <w:rPr>
              <w:rFonts w:ascii="Calibri" w:hAnsi="Calibri"/>
              <w:sz w:val="20"/>
              <w:szCs w:val="20"/>
            </w:rPr>
            <w:fldChar w:fldCharType="begin"/>
          </w:r>
          <w:r w:rsidRPr="003A7EFD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3A7EFD">
            <w:rPr>
              <w:rFonts w:ascii="Calibri" w:hAnsi="Calibri"/>
              <w:sz w:val="20"/>
              <w:szCs w:val="20"/>
            </w:rPr>
            <w:fldChar w:fldCharType="separate"/>
          </w:r>
          <w:r w:rsidR="00755531">
            <w:rPr>
              <w:rFonts w:ascii="Calibri" w:hAnsi="Calibri"/>
              <w:noProof/>
              <w:sz w:val="20"/>
              <w:szCs w:val="20"/>
            </w:rPr>
            <w:t>14</w:t>
          </w:r>
          <w:r w:rsidRPr="003A7EFD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23658F" w:rsidRPr="002D59F8" w:rsidRDefault="0023658F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D91" w:rsidRDefault="00384D91" w:rsidP="00521BFC">
      <w:r>
        <w:separator/>
      </w:r>
    </w:p>
  </w:footnote>
  <w:footnote w:type="continuationSeparator" w:id="0">
    <w:p w:rsidR="00384D91" w:rsidRDefault="00384D91" w:rsidP="00521BFC">
      <w:r>
        <w:continuationSeparator/>
      </w:r>
    </w:p>
  </w:footnote>
  <w:footnote w:type="continuationNotice" w:id="1">
    <w:p w:rsidR="00384D91" w:rsidRDefault="00384D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23658F" w:rsidRPr="003A7EFD" w:rsidTr="003A7EFD">
      <w:trPr>
        <w:cantSplit/>
        <w:trHeight w:val="1065"/>
      </w:trPr>
      <w:tc>
        <w:tcPr>
          <w:tcW w:w="8222" w:type="dxa"/>
          <w:vAlign w:val="center"/>
        </w:tcPr>
        <w:p w:rsidR="0023658F" w:rsidRPr="003A7EFD" w:rsidRDefault="0023658F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3A7EFD">
            <w:rPr>
              <w:rFonts w:ascii="Calibri" w:hAnsi="Calibri"/>
              <w:sz w:val="32"/>
              <w:szCs w:val="32"/>
            </w:rPr>
            <w:t>SCDCPC304</w:t>
          </w:r>
        </w:p>
        <w:p w:rsidR="0023658F" w:rsidRPr="003A7EFD" w:rsidRDefault="0023658F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Hwyluso’r broses o ddatrys problemau neu wrthdaro wrth gomisiynu, caffael a chontractio</w:t>
          </w:r>
        </w:p>
      </w:tc>
      <w:tc>
        <w:tcPr>
          <w:tcW w:w="2552" w:type="dxa"/>
        </w:tcPr>
        <w:p w:rsidR="0023658F" w:rsidRPr="003A7EFD" w:rsidRDefault="003A3563" w:rsidP="003A7EF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58F" w:rsidRDefault="003A3563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10A028A"/>
    <w:multiLevelType w:val="hybridMultilevel"/>
    <w:tmpl w:val="A0D44E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4E4213"/>
    <w:multiLevelType w:val="hybridMultilevel"/>
    <w:tmpl w:val="6D2A7BDA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F2509"/>
    <w:multiLevelType w:val="hybridMultilevel"/>
    <w:tmpl w:val="81BC7CA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F785F"/>
    <w:multiLevelType w:val="hybridMultilevel"/>
    <w:tmpl w:val="323A5CCE"/>
    <w:lvl w:ilvl="0" w:tplc="0100A090">
      <w:start w:val="1"/>
      <w:numFmt w:val="decimal"/>
      <w:lvlText w:val="K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9AD7A19"/>
    <w:multiLevelType w:val="hybridMultilevel"/>
    <w:tmpl w:val="25045EFA"/>
    <w:lvl w:ilvl="0" w:tplc="0100A09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42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50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57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4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1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78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6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3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040" w:hanging="180"/>
      </w:pPr>
      <w:rPr>
        <w:rFonts w:cs="Times New Roman"/>
      </w:rPr>
    </w:lvl>
  </w:abstractNum>
  <w:abstractNum w:abstractNumId="20">
    <w:nsid w:val="66C54E00"/>
    <w:multiLevelType w:val="hybridMultilevel"/>
    <w:tmpl w:val="94FAB91C"/>
    <w:lvl w:ilvl="0" w:tplc="16D2C918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D43D09"/>
    <w:multiLevelType w:val="hybridMultilevel"/>
    <w:tmpl w:val="7A00E4F2"/>
    <w:lvl w:ilvl="0" w:tplc="E86E84C6">
      <w:start w:val="1"/>
      <w:numFmt w:val="decimal"/>
      <w:lvlText w:val="P%1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CB6961"/>
    <w:multiLevelType w:val="hybridMultilevel"/>
    <w:tmpl w:val="8A0A4014"/>
    <w:lvl w:ilvl="0" w:tplc="3892A5EE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73212B"/>
    <w:multiLevelType w:val="multilevel"/>
    <w:tmpl w:val="61B0FDE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7"/>
  </w:num>
  <w:num w:numId="6">
    <w:abstractNumId w:val="24"/>
  </w:num>
  <w:num w:numId="7">
    <w:abstractNumId w:val="23"/>
  </w:num>
  <w:num w:numId="8">
    <w:abstractNumId w:val="18"/>
  </w:num>
  <w:num w:numId="9">
    <w:abstractNumId w:val="15"/>
  </w:num>
  <w:num w:numId="10">
    <w:abstractNumId w:val="19"/>
  </w:num>
  <w:num w:numId="11">
    <w:abstractNumId w:val="11"/>
  </w:num>
  <w:num w:numId="12">
    <w:abstractNumId w:val="2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19"/>
  </w:num>
  <w:num w:numId="18">
    <w:abstractNumId w:val="21"/>
  </w:num>
  <w:num w:numId="19">
    <w:abstractNumId w:val="16"/>
  </w:num>
  <w:num w:numId="20">
    <w:abstractNumId w:val="20"/>
  </w:num>
  <w:num w:numId="21">
    <w:abstractNumId w:val="1"/>
  </w:num>
  <w:num w:numId="22">
    <w:abstractNumId w:val="22"/>
  </w:num>
  <w:num w:numId="23">
    <w:abstractNumId w:val="7"/>
  </w:num>
  <w:num w:numId="24">
    <w:abstractNumId w:val="5"/>
  </w:num>
  <w:num w:numId="25">
    <w:abstractNumId w:val="9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155A"/>
    <w:rsid w:val="00035310"/>
    <w:rsid w:val="00042283"/>
    <w:rsid w:val="0004792D"/>
    <w:rsid w:val="000519BF"/>
    <w:rsid w:val="00063325"/>
    <w:rsid w:val="00065440"/>
    <w:rsid w:val="00066CD2"/>
    <w:rsid w:val="00074FC4"/>
    <w:rsid w:val="00084043"/>
    <w:rsid w:val="00086C64"/>
    <w:rsid w:val="000913F4"/>
    <w:rsid w:val="00093E71"/>
    <w:rsid w:val="00094EBF"/>
    <w:rsid w:val="00096244"/>
    <w:rsid w:val="00096378"/>
    <w:rsid w:val="000A2920"/>
    <w:rsid w:val="000A3533"/>
    <w:rsid w:val="000A5804"/>
    <w:rsid w:val="000B125F"/>
    <w:rsid w:val="000B6D40"/>
    <w:rsid w:val="000B7422"/>
    <w:rsid w:val="000C77B6"/>
    <w:rsid w:val="000D3DF7"/>
    <w:rsid w:val="000E0A1D"/>
    <w:rsid w:val="000E1A7E"/>
    <w:rsid w:val="0010370F"/>
    <w:rsid w:val="0010479B"/>
    <w:rsid w:val="00107175"/>
    <w:rsid w:val="00110446"/>
    <w:rsid w:val="0011084A"/>
    <w:rsid w:val="00115544"/>
    <w:rsid w:val="00153A9B"/>
    <w:rsid w:val="0016238F"/>
    <w:rsid w:val="001634E2"/>
    <w:rsid w:val="00181007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4BC7"/>
    <w:rsid w:val="00225A48"/>
    <w:rsid w:val="00233264"/>
    <w:rsid w:val="0023658F"/>
    <w:rsid w:val="00257BEC"/>
    <w:rsid w:val="00270B1B"/>
    <w:rsid w:val="00274856"/>
    <w:rsid w:val="002774F2"/>
    <w:rsid w:val="00283FF7"/>
    <w:rsid w:val="00291FA3"/>
    <w:rsid w:val="002B42E5"/>
    <w:rsid w:val="002C069C"/>
    <w:rsid w:val="002C10D9"/>
    <w:rsid w:val="002C325B"/>
    <w:rsid w:val="002C5190"/>
    <w:rsid w:val="002D479C"/>
    <w:rsid w:val="002D59F8"/>
    <w:rsid w:val="002E7CB1"/>
    <w:rsid w:val="002F4B2F"/>
    <w:rsid w:val="002F606F"/>
    <w:rsid w:val="002F647D"/>
    <w:rsid w:val="00303FD8"/>
    <w:rsid w:val="003053CA"/>
    <w:rsid w:val="00317CD9"/>
    <w:rsid w:val="003319D1"/>
    <w:rsid w:val="00345B06"/>
    <w:rsid w:val="00350521"/>
    <w:rsid w:val="003521D1"/>
    <w:rsid w:val="003722CD"/>
    <w:rsid w:val="00380447"/>
    <w:rsid w:val="0038224E"/>
    <w:rsid w:val="00384D91"/>
    <w:rsid w:val="00387C8A"/>
    <w:rsid w:val="003A3563"/>
    <w:rsid w:val="003A7EFD"/>
    <w:rsid w:val="003B1BC7"/>
    <w:rsid w:val="003D3486"/>
    <w:rsid w:val="003D7EF3"/>
    <w:rsid w:val="003E2694"/>
    <w:rsid w:val="003F7686"/>
    <w:rsid w:val="00401539"/>
    <w:rsid w:val="00414C13"/>
    <w:rsid w:val="00416FEB"/>
    <w:rsid w:val="00431135"/>
    <w:rsid w:val="00436586"/>
    <w:rsid w:val="004375BF"/>
    <w:rsid w:val="00447016"/>
    <w:rsid w:val="00451CC3"/>
    <w:rsid w:val="004570FA"/>
    <w:rsid w:val="00474BDB"/>
    <w:rsid w:val="0048703A"/>
    <w:rsid w:val="004901D8"/>
    <w:rsid w:val="00491F62"/>
    <w:rsid w:val="004971C9"/>
    <w:rsid w:val="00497C87"/>
    <w:rsid w:val="00497F42"/>
    <w:rsid w:val="004D0EEB"/>
    <w:rsid w:val="004D1F3B"/>
    <w:rsid w:val="004D6960"/>
    <w:rsid w:val="004E05F7"/>
    <w:rsid w:val="00521BFC"/>
    <w:rsid w:val="005274FF"/>
    <w:rsid w:val="00540315"/>
    <w:rsid w:val="00540609"/>
    <w:rsid w:val="0054747A"/>
    <w:rsid w:val="00550971"/>
    <w:rsid w:val="00563A73"/>
    <w:rsid w:val="0057289F"/>
    <w:rsid w:val="00572ED7"/>
    <w:rsid w:val="005833E2"/>
    <w:rsid w:val="005B1283"/>
    <w:rsid w:val="005B3422"/>
    <w:rsid w:val="005C618B"/>
    <w:rsid w:val="005D72FC"/>
    <w:rsid w:val="005F58DE"/>
    <w:rsid w:val="005F7445"/>
    <w:rsid w:val="005F7944"/>
    <w:rsid w:val="006043DF"/>
    <w:rsid w:val="00610303"/>
    <w:rsid w:val="0061176A"/>
    <w:rsid w:val="00621F6A"/>
    <w:rsid w:val="006229C7"/>
    <w:rsid w:val="00635BDD"/>
    <w:rsid w:val="00637642"/>
    <w:rsid w:val="006505B2"/>
    <w:rsid w:val="00656273"/>
    <w:rsid w:val="0066162E"/>
    <w:rsid w:val="006714C6"/>
    <w:rsid w:val="00673383"/>
    <w:rsid w:val="00684C1F"/>
    <w:rsid w:val="00685DDB"/>
    <w:rsid w:val="00692FE1"/>
    <w:rsid w:val="00694A3C"/>
    <w:rsid w:val="006A129C"/>
    <w:rsid w:val="006B2227"/>
    <w:rsid w:val="006B6DBE"/>
    <w:rsid w:val="006C0CB2"/>
    <w:rsid w:val="006C2574"/>
    <w:rsid w:val="006D0DC6"/>
    <w:rsid w:val="006E35D0"/>
    <w:rsid w:val="00702C16"/>
    <w:rsid w:val="007156AF"/>
    <w:rsid w:val="00715D93"/>
    <w:rsid w:val="00724E04"/>
    <w:rsid w:val="0073749B"/>
    <w:rsid w:val="00742745"/>
    <w:rsid w:val="00755531"/>
    <w:rsid w:val="00760490"/>
    <w:rsid w:val="007613C5"/>
    <w:rsid w:val="00762E29"/>
    <w:rsid w:val="007667E2"/>
    <w:rsid w:val="007702E3"/>
    <w:rsid w:val="00780EAB"/>
    <w:rsid w:val="00785D30"/>
    <w:rsid w:val="00791C53"/>
    <w:rsid w:val="00793116"/>
    <w:rsid w:val="007A13ED"/>
    <w:rsid w:val="007B0672"/>
    <w:rsid w:val="007C7DC5"/>
    <w:rsid w:val="007D3CB0"/>
    <w:rsid w:val="007D52B7"/>
    <w:rsid w:val="007D638E"/>
    <w:rsid w:val="007E567F"/>
    <w:rsid w:val="007E7D16"/>
    <w:rsid w:val="00814CA3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E44DE"/>
    <w:rsid w:val="00901FEF"/>
    <w:rsid w:val="0090729C"/>
    <w:rsid w:val="0091573A"/>
    <w:rsid w:val="00921336"/>
    <w:rsid w:val="009235A9"/>
    <w:rsid w:val="009413C7"/>
    <w:rsid w:val="009507C1"/>
    <w:rsid w:val="00954281"/>
    <w:rsid w:val="00957D1B"/>
    <w:rsid w:val="009648B9"/>
    <w:rsid w:val="00967459"/>
    <w:rsid w:val="00970FA0"/>
    <w:rsid w:val="009715CA"/>
    <w:rsid w:val="00987F3E"/>
    <w:rsid w:val="009A5D84"/>
    <w:rsid w:val="009A75E7"/>
    <w:rsid w:val="009B0601"/>
    <w:rsid w:val="009C3949"/>
    <w:rsid w:val="009D20A6"/>
    <w:rsid w:val="009D30D6"/>
    <w:rsid w:val="009D3E57"/>
    <w:rsid w:val="009E742F"/>
    <w:rsid w:val="009F50E4"/>
    <w:rsid w:val="00A10E28"/>
    <w:rsid w:val="00A664B3"/>
    <w:rsid w:val="00A85DBC"/>
    <w:rsid w:val="00A9731F"/>
    <w:rsid w:val="00AA3CE0"/>
    <w:rsid w:val="00AA411C"/>
    <w:rsid w:val="00AB493E"/>
    <w:rsid w:val="00AB7B1B"/>
    <w:rsid w:val="00AC5EE5"/>
    <w:rsid w:val="00AE3CFF"/>
    <w:rsid w:val="00AE57EF"/>
    <w:rsid w:val="00AE5B0A"/>
    <w:rsid w:val="00B02FA2"/>
    <w:rsid w:val="00B07856"/>
    <w:rsid w:val="00B15A0B"/>
    <w:rsid w:val="00B165CE"/>
    <w:rsid w:val="00B4020E"/>
    <w:rsid w:val="00B51DAF"/>
    <w:rsid w:val="00B652FB"/>
    <w:rsid w:val="00B76CDC"/>
    <w:rsid w:val="00B8193D"/>
    <w:rsid w:val="00B82F94"/>
    <w:rsid w:val="00B85EA9"/>
    <w:rsid w:val="00B921EE"/>
    <w:rsid w:val="00B9514C"/>
    <w:rsid w:val="00BA14E9"/>
    <w:rsid w:val="00BA174C"/>
    <w:rsid w:val="00BA2445"/>
    <w:rsid w:val="00BD0922"/>
    <w:rsid w:val="00BD4D5E"/>
    <w:rsid w:val="00BE436E"/>
    <w:rsid w:val="00BE4868"/>
    <w:rsid w:val="00BF663F"/>
    <w:rsid w:val="00C077DD"/>
    <w:rsid w:val="00C12BFA"/>
    <w:rsid w:val="00C13948"/>
    <w:rsid w:val="00C241A2"/>
    <w:rsid w:val="00C2528F"/>
    <w:rsid w:val="00C25603"/>
    <w:rsid w:val="00C327DC"/>
    <w:rsid w:val="00C35295"/>
    <w:rsid w:val="00C4225F"/>
    <w:rsid w:val="00C617B3"/>
    <w:rsid w:val="00C92654"/>
    <w:rsid w:val="00CA0B7E"/>
    <w:rsid w:val="00CC2785"/>
    <w:rsid w:val="00CD7622"/>
    <w:rsid w:val="00D02AFC"/>
    <w:rsid w:val="00D33A15"/>
    <w:rsid w:val="00D50956"/>
    <w:rsid w:val="00D53CFD"/>
    <w:rsid w:val="00D646F9"/>
    <w:rsid w:val="00D945AE"/>
    <w:rsid w:val="00DA0020"/>
    <w:rsid w:val="00DB1A9E"/>
    <w:rsid w:val="00DB4122"/>
    <w:rsid w:val="00DC2A28"/>
    <w:rsid w:val="00DD3B4E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802D3"/>
    <w:rsid w:val="00EA4228"/>
    <w:rsid w:val="00EA502D"/>
    <w:rsid w:val="00EC19B3"/>
    <w:rsid w:val="00EC1AA4"/>
    <w:rsid w:val="00EC6EE1"/>
    <w:rsid w:val="00EC71A9"/>
    <w:rsid w:val="00ED4338"/>
    <w:rsid w:val="00F04967"/>
    <w:rsid w:val="00F129CF"/>
    <w:rsid w:val="00F152BB"/>
    <w:rsid w:val="00F2717E"/>
    <w:rsid w:val="00F27689"/>
    <w:rsid w:val="00F307E2"/>
    <w:rsid w:val="00F35213"/>
    <w:rsid w:val="00F37A01"/>
    <w:rsid w:val="00F404FC"/>
    <w:rsid w:val="00F42886"/>
    <w:rsid w:val="00F4296C"/>
    <w:rsid w:val="00F45010"/>
    <w:rsid w:val="00F75610"/>
    <w:rsid w:val="00F824EF"/>
    <w:rsid w:val="00F90C6C"/>
    <w:rsid w:val="00FA0B4F"/>
    <w:rsid w:val="00FA164F"/>
    <w:rsid w:val="00FB3A0A"/>
    <w:rsid w:val="00FB3A0B"/>
    <w:rsid w:val="00FB5234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3CE0"/>
    <w:pPr>
      <w:keepNext/>
      <w:keepLines/>
      <w:spacing w:before="200"/>
      <w:outlineLvl w:val="4"/>
    </w:pPr>
    <w:rPr>
      <w:rFonts w:ascii="Cambria" w:hAnsi="Cambria"/>
      <w:color w:val="3F315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AA3CE0"/>
    <w:rPr>
      <w:rFonts w:ascii="Cambria" w:eastAsia="SimSun" w:hAnsi="Cambria" w:cs="Times New Roman"/>
      <w:color w:val="3F315B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qFormat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knowledgebullet">
    <w:name w:val="knowledge bullet"/>
    <w:basedOn w:val="Default"/>
    <w:next w:val="Default"/>
    <w:uiPriority w:val="99"/>
    <w:rsid w:val="00AA3CE0"/>
    <w:pPr>
      <w:widowControl w:val="0"/>
      <w:spacing w:before="20"/>
    </w:pPr>
    <w:rPr>
      <w:rFonts w:ascii="Verdana" w:eastAsia="Times New Roman" w:hAnsi="Verdana" w:cs="Times New Roman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3DA2-7252-4BD0-B394-3BB98666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6</cp:revision>
  <cp:lastPrinted>2013-11-04T09:06:00Z</cp:lastPrinted>
  <dcterms:created xsi:type="dcterms:W3CDTF">2013-12-16T12:47:00Z</dcterms:created>
  <dcterms:modified xsi:type="dcterms:W3CDTF">2014-01-06T10:18:00Z</dcterms:modified>
</cp:coreProperties>
</file>